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Certificates</w:t>
      </w:r>
    </w:p>
    <w:p>
      <w:pPr>
        <w:pStyle w:val="Subtitle"/>
      </w:pPr>
      <w:r>
        <w:t xml:space="preserve">Version</w:t>
      </w:r>
      <w:r>
        <w:t xml:space="preserve"> </w:t>
      </w:r>
      <w:r>
        <w:t xml:space="preserve">1.6.8</w:t>
      </w:r>
    </w:p>
    <w:p>
      <w:pPr>
        <w:pStyle w:val="Author"/>
      </w:pPr>
      <w:r>
        <w:t xml:space="preserve">CA/Browser</w:t>
      </w:r>
      <w:r>
        <w:t xml:space="preserve"> </w:t>
      </w:r>
      <w:r>
        <w:t xml:space="preserve">Forum</w:t>
      </w:r>
    </w:p>
    <w:p>
      <w:pPr>
        <w:pStyle w:val="Date"/>
      </w:pPr>
      <w:r>
        <w:t xml:space="preserve">3</w:t>
      </w:r>
      <w:r>
        <w:t xml:space="preserve"> </w:t>
      </w:r>
      <w:r>
        <w:t xml:space="preserve">March</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rPr>
          <w:b/>
        </w:rPr>
        <w:t xml:space="preserve">CA/Browser Forum</w:t>
      </w:r>
    </w:p>
    <w:p>
      <w:pPr>
        <w:pStyle w:val="BodyText"/>
      </w:pPr>
      <w:r>
        <w:rPr>
          <w:b/>
        </w:rPr>
        <w:t xml:space="preserve">Baseline Requirements</w:t>
      </w:r>
      <w:r>
        <w:t xml:space="preserve"> </w:t>
      </w:r>
      <w:r>
        <w:rPr>
          <w:b/>
        </w:rPr>
        <w:t xml:space="preserve">for the</w:t>
      </w:r>
      <w:r>
        <w:t xml:space="preserve"> </w:t>
      </w:r>
      <w:r>
        <w:rPr>
          <w:b/>
        </w:rPr>
        <w:t xml:space="preserve">Issuance and Management of</w:t>
      </w:r>
      <w:r>
        <w:t xml:space="preserve"> </w:t>
      </w:r>
      <w:r>
        <w:rPr>
          <w:b/>
        </w:rPr>
        <w:t xml:space="preserve">Publicly-Trusted Certificates</w:t>
      </w:r>
    </w:p>
    <w:p>
      <w:pPr>
        <w:pStyle w:val="BodyText"/>
      </w:pPr>
      <w:r>
        <w:rPr>
          <w:b/>
        </w:rPr>
        <w:t xml:space="preserve">CA/Browser Forum</w:t>
      </w:r>
    </w:p>
    <w:p>
      <w:pPr>
        <w:pStyle w:val="BodyText"/>
      </w:pPr>
      <w:r>
        <w:rPr>
          <w:b/>
        </w:rPr>
        <w:t xml:space="preserve">Version 1.6.8</w:t>
      </w:r>
    </w:p>
    <w:p>
      <w:pPr>
        <w:pStyle w:val="BodyText"/>
      </w:pPr>
      <w:r>
        <w:rPr>
          <w:b/>
        </w:rPr>
        <w:t xml:space="preserve">March 3, 2020</w:t>
      </w:r>
    </w:p>
    <w:p>
      <w:pPr>
        <w:pStyle w:val="BodyText"/>
      </w:pPr>
      <w:r>
        <w:rPr>
          <w:b/>
        </w:rPr>
        <w:t xml:space="preserve">www.cabforum.org</w:t>
      </w:r>
    </w:p>
    <w:p>
      <w:pPr>
        <w:pStyle w:val="BodyText"/>
      </w:pPr>
      <w:r>
        <w:t xml:space="preserve">Copyright 2020 CA/Browser Forum</w:t>
      </w:r>
      <w:r>
        <w:t xml:space="preserve"> </w:t>
      </w:r>
      <w:r>
        <w:t xml:space="preserve">This work is licensed under the Creative Commons Attribution 4.0 International license.</w:t>
      </w:r>
    </w:p>
    <w:p>
      <w:pPr>
        <w:pStyle w:val="Heading1"/>
      </w:pPr>
      <w:bookmarkStart w:id="20" w:name="introduction"/>
      <w:r>
        <w:t xml:space="preserve">1. INTRODUCTION</w:t>
      </w:r>
      <w:bookmarkEnd w:id="20"/>
    </w:p>
    <w:p>
      <w:pPr>
        <w:pStyle w:val="Heading2"/>
      </w:pPr>
      <w:bookmarkStart w:id="21" w:name="overview"/>
      <w:r>
        <w:t xml:space="preserve">1.1 Overview</w:t>
      </w:r>
      <w:bookmarkEnd w:id="21"/>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
        </w:rPr>
        <w:t xml:space="preserve">Notice to Readers</w:t>
      </w:r>
    </w:p>
    <w:p>
      <w:pPr>
        <w:pStyle w:val="BodyText"/>
      </w:pPr>
      <w:r>
        <w:t xml:space="preserve">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p>
      <w:pPr>
        <w:pStyle w:val="Heading2"/>
      </w:pPr>
      <w:bookmarkStart w:id="22" w:name="document-name-and-identification"/>
      <w:r>
        <w:t xml:space="preserve">1.2 Document name and identification</w:t>
      </w:r>
      <w:bookmarkEnd w:id="22"/>
    </w:p>
    <w:p>
      <w:pPr>
        <w:pStyle w:val="FirstParagraph"/>
      </w:pPr>
      <w:r>
        <w:t xml:space="preserve">This certificate policy (CP) contains the requirements for the issuance and management of publicly-trusted SSL certificates, as adopted by the CA/Browser Forum.</w:t>
      </w:r>
    </w:p>
    <w:p>
      <w:pPr>
        <w:pStyle w:val="BodyText"/>
      </w:pPr>
      <w:r>
        <w:t xml:space="preserve">The following Certificate Policy identifiers are reserved for use by CAs as an optional means of asserting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p>
      <w:pPr>
        <w:pStyle w:val="Heading3"/>
      </w:pPr>
      <w:bookmarkStart w:id="23" w:name="revisions"/>
      <w:r>
        <w:t xml:space="preserve">1.2.1 Revisions</w:t>
      </w:r>
      <w:bookmarkEnd w:id="23"/>
    </w:p>
    <w:tbl>
      <w:tblPr>
        <w:tblStyle w:val="Table"/>
        <w:tblW w:type="pct" w:w="5000.0"/>
        <w:tblLook w:firstRow="1"/>
      </w:tblPr>
      <w:tblGrid>
        <w:gridCol w:w="720"/>
        <w:gridCol w:w="720"/>
        <w:gridCol w:w="3600"/>
        <w:gridCol w:w="1440"/>
        <w:gridCol w:w="1440"/>
      </w:tblGrid>
      <w:tr>
        <w:trPr>
          <w:cnfStyle w:firstRow="1"/>
        </w:trPr>
        <w:tc>
          <w:tcPr>
            <w:tcBorders>
              <w:bottom w:val="single"/>
            </w:tcBorders>
            <w:vAlign w:val="bottom"/>
          </w:tcPr>
          <w:p>
            <w:pPr>
              <w:pStyle w:val="Compact"/>
              <w:jc w:val="left"/>
            </w:pPr>
            <w:r>
              <w:rPr>
                <w:b/>
              </w:rPr>
              <w:t xml:space="preserve">Ver.</w:t>
            </w:r>
          </w:p>
        </w:tc>
        <w:tc>
          <w:tcPr>
            <w:tcBorders>
              <w:bottom w:val="single"/>
            </w:tcBorders>
            <w:vAlign w:val="bottom"/>
          </w:tcPr>
          <w:p>
            <w:pPr>
              <w:pStyle w:val="Compact"/>
              <w:jc w:val="left"/>
            </w:pPr>
            <w:r>
              <w:rPr>
                <w:b/>
              </w:rPr>
              <w:t xml:space="preserve">Ballot</w:t>
            </w:r>
          </w:p>
        </w:tc>
        <w:tc>
          <w:tcPr>
            <w:tcBorders>
              <w:bottom w:val="single"/>
            </w:tcBorders>
            <w:vAlign w:val="bottom"/>
          </w:tcPr>
          <w:p>
            <w:pPr>
              <w:pStyle w:val="Compact"/>
              <w:jc w:val="left"/>
            </w:pPr>
            <w:r>
              <w:rPr>
                <w:b/>
              </w:rPr>
              <w:t xml:space="preserve">Description</w:t>
            </w:r>
          </w:p>
        </w:tc>
        <w:tc>
          <w:tcPr>
            <w:tcBorders>
              <w:bottom w:val="single"/>
            </w:tcBorders>
            <w:vAlign w:val="bottom"/>
          </w:tcPr>
          <w:p>
            <w:pPr>
              <w:pStyle w:val="Compact"/>
              <w:jc w:val="left"/>
            </w:pPr>
            <w:r>
              <w:rPr>
                <w:b/>
              </w:rPr>
              <w:t xml:space="preserve">Adopted</w:t>
            </w:r>
          </w:p>
        </w:tc>
        <w:tc>
          <w:tcPr>
            <w:tcBorders>
              <w:bottom w:val="single"/>
            </w:tcBorders>
            <w:vAlign w:val="bottom"/>
          </w:tcPr>
          <w:p>
            <w:pPr>
              <w:pStyle w:val="Compact"/>
              <w:jc w:val="left"/>
            </w:pPr>
            <w:r>
              <w:rPr>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bl>
    <w:p>
      <w:pPr>
        <w:pStyle w:val="BodyText"/>
      </w:pPr>
      <w:r>
        <w:t xml:space="preserve">* Effective Date and Additionally Relevant Compliance Date(s)</w:t>
      </w:r>
    </w:p>
    <w:p>
      <w:pPr>
        <w:pStyle w:val="Heading3"/>
      </w:pPr>
      <w:bookmarkStart w:id="24" w:name="relevant-dates"/>
      <w:r>
        <w:t xml:space="preserve">1.2.2. Relevant Dates</w:t>
      </w:r>
      <w:bookmarkEnd w:id="24"/>
    </w:p>
    <w:tbl>
      <w:tblPr>
        <w:tblStyle w:val="Table"/>
        <w:tblW w:type="pct" w:w="5000.0"/>
        <w:tblLook w:firstRow="1"/>
      </w:tblPr>
      <w:tblGrid>
        <w:gridCol w:w="1131"/>
        <w:gridCol w:w="1131"/>
        <w:gridCol w:w="5657"/>
      </w:tblGrid>
      <w:tr>
        <w:trPr>
          <w:cnfStyle w:firstRow="1"/>
        </w:trPr>
        <w:tc>
          <w:tcPr>
            <w:tcBorders>
              <w:bottom w:val="single"/>
            </w:tcBorders>
            <w:vAlign w:val="bottom"/>
          </w:tcPr>
          <w:p>
            <w:pPr>
              <w:pStyle w:val="Compact"/>
              <w:jc w:val="left"/>
            </w:pPr>
            <w:r>
              <w:rPr>
                <w:b/>
              </w:rPr>
              <w:t xml:space="preserve">Compliance</w:t>
            </w:r>
          </w:p>
        </w:tc>
        <w:tc>
          <w:tcPr>
            <w:tcBorders>
              <w:bottom w:val="single"/>
            </w:tcBorders>
            <w:vAlign w:val="bottom"/>
          </w:tcPr>
          <w:p>
            <w:pPr>
              <w:pStyle w:val="Compact"/>
              <w:jc w:val="left"/>
            </w:pPr>
            <w:r>
              <w:rPr>
                <w:b/>
              </w:rPr>
              <w:t xml:space="preserve">Section(s)</w:t>
            </w:r>
          </w:p>
        </w:tc>
        <w:tc>
          <w:tcPr>
            <w:tcBorders>
              <w:bottom w:val="single"/>
            </w:tcBorders>
            <w:vAlign w:val="bottom"/>
          </w:tcPr>
          <w:p>
            <w:pPr>
              <w:pStyle w:val="Compact"/>
              <w:jc w:val="left"/>
            </w:pPr>
            <w:r>
              <w:rPr>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 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bl>
    <w:p>
      <w:pPr>
        <w:pStyle w:val="Heading2"/>
      </w:pPr>
      <w:bookmarkStart w:id="25" w:name="pki-participants"/>
      <w:r>
        <w:t xml:space="preserve">1.3 PKI Participants</w:t>
      </w:r>
      <w:bookmarkEnd w:id="25"/>
    </w:p>
    <w:p>
      <w:pPr>
        <w:pStyle w:val="FirstParagraph"/>
      </w:pPr>
      <w:r>
        <w:t xml:space="preserve">The CA/Browser Forum is a voluntary organization of Certification Authorities and suppliers of Internet browser and other relying-party software applications.</w:t>
      </w:r>
    </w:p>
    <w:p>
      <w:pPr>
        <w:pStyle w:val="Heading3"/>
      </w:pPr>
      <w:bookmarkStart w:id="26" w:name="certification-authorities"/>
      <w:r>
        <w:t xml:space="preserve">1.3.1 Certification Authorities</w:t>
      </w:r>
      <w:bookmarkEnd w:id="26"/>
    </w:p>
    <w:p>
      <w:pPr>
        <w:pStyle w:val="FirstParagraph"/>
      </w:pPr>
      <w:r>
        <w:t xml:space="preserve">Certification Authority (CA) is defined in Section 1.6. Current CA Members of the CA/Browser Forum are listed here:</w:t>
      </w:r>
      <w:r>
        <w:t xml:space="preserve"> </w:t>
      </w:r>
      <w:hyperlink r:id="rId27">
        <w:r>
          <w:rPr>
            <w:rStyle w:val="Hyperlink"/>
          </w:rPr>
          <w:t xml:space="preserve">https://cabforum.org/members</w:t>
        </w:r>
      </w:hyperlink>
      <w:r>
        <w:t xml:space="preserve">.</w:t>
      </w:r>
    </w:p>
    <w:p>
      <w:pPr>
        <w:pStyle w:val="Heading3"/>
      </w:pPr>
      <w:bookmarkStart w:id="28" w:name="registration-authorities"/>
      <w:r>
        <w:t xml:space="preserve">1.3.2 Registration Authorities</w:t>
      </w:r>
      <w:bookmarkEnd w:id="28"/>
    </w:p>
    <w:p>
      <w:pPr>
        <w:pStyle w:val="FirstParagraph"/>
      </w:pPr>
      <w:r>
        <w:t xml:space="preserve">With the exception of sections 3.2.2.4 and 3.2.2.5, the CA MAY delegate the performance of all, or any part, of Section 3.2 requirements to a Delegated Third Party, provided that the process as a whole fulfills all of the requirements of Section 3.2.</w:t>
      </w:r>
    </w:p>
    <w:p>
      <w:pPr>
        <w:pStyle w:val="BodyText"/>
      </w:pPr>
      <w:r>
        <w:t xml:space="preserve">Before the CA authorizes a Delegated Third Party to perform a delegated function, the CA SHALL contractually require the Delegated Third Party to:</w:t>
      </w:r>
    </w:p>
    <w:p>
      <w:pPr>
        <w:numPr>
          <w:ilvl w:val="0"/>
          <w:numId w:val="1001"/>
        </w:numPr>
      </w:pPr>
      <w:r>
        <w:t xml:space="preserve">Meet the qualification requirements of Section 5.3.1, when applicable to the delegated function;</w:t>
      </w:r>
    </w:p>
    <w:p>
      <w:pPr>
        <w:numPr>
          <w:ilvl w:val="0"/>
          <w:numId w:val="1001"/>
        </w:numPr>
      </w:pPr>
      <w:r>
        <w:t xml:space="preserve">Retain documentation in accordance with Section 5.5.2;</w:t>
      </w:r>
    </w:p>
    <w:p>
      <w:pPr>
        <w:numPr>
          <w:ilvl w:val="0"/>
          <w:numId w:val="1001"/>
        </w:numPr>
      </w:pPr>
      <w:r>
        <w:t xml:space="preserve">Abide by the other provisions of these Requirements that are applicable to the delegated function; and</w:t>
      </w:r>
    </w:p>
    <w:p>
      <w:pPr>
        <w:numPr>
          <w:ilvl w:val="0"/>
          <w:numId w:val="1001"/>
        </w:numPr>
      </w:pPr>
      <w:r>
        <w:t xml:space="preserve">Comply with (a) the CA’s Certificate Policy/Certification Practice Statement or (b) 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2"/>
        </w:numPr>
      </w:pPr>
      <w:r>
        <w:t xml:space="preserve">The CA SHALL confirm that the requested Fully-Qualified Domain Name(s) are within the Enterprise</w:t>
      </w:r>
      <w:r>
        <w:t xml:space="preserve"> </w:t>
      </w:r>
      <w:r>
        <w:t xml:space="preserve">RA’s verified Domain Namespace.</w:t>
      </w:r>
    </w:p>
    <w:p>
      <w:pPr>
        <w:numPr>
          <w:ilvl w:val="0"/>
          <w:numId w:val="1002"/>
        </w:numPr>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 Section 3.2)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p>
      <w:pPr>
        <w:pStyle w:val="Heading3"/>
      </w:pPr>
      <w:bookmarkStart w:id="29" w:name="subscribers"/>
      <w:r>
        <w:t xml:space="preserve">1.3.3 Subscribers</w:t>
      </w:r>
      <w:bookmarkEnd w:id="29"/>
    </w:p>
    <w:p>
      <w:pPr>
        <w:pStyle w:val="FirstParagraph"/>
      </w:pPr>
      <w:r>
        <w:t xml:space="preserve">As defined in Section 1.6.1.</w:t>
      </w:r>
    </w:p>
    <w:p>
      <w:pPr>
        <w:pStyle w:val="Heading3"/>
      </w:pPr>
      <w:bookmarkStart w:id="30" w:name="relying-parties"/>
      <w:r>
        <w:t xml:space="preserve">1.3.4 Relying Parties</w:t>
      </w:r>
      <w:bookmarkEnd w:id="30"/>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 Section 1.6.1. Current Members of the CA/Browser Forum who are Application Software Suppliers are listed here:</w:t>
      </w:r>
      <w:r>
        <w:br/>
      </w:r>
      <w:hyperlink r:id="rId27">
        <w:r>
          <w:rPr>
            <w:rStyle w:val="Hyperlink"/>
          </w:rPr>
          <w:t xml:space="preserve">https://cabforum.org/members</w:t>
        </w:r>
      </w:hyperlink>
      <w:r>
        <w:t xml:space="preserve">.</w:t>
      </w:r>
    </w:p>
    <w:p>
      <w:pPr>
        <w:pStyle w:val="Heading3"/>
      </w:pPr>
      <w:bookmarkStart w:id="31" w:name="other-participants"/>
      <w:r>
        <w:t xml:space="preserve">1.3.5 Other Participants</w:t>
      </w:r>
      <w:bookmarkEnd w:id="31"/>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p>
      <w:pPr>
        <w:pStyle w:val="Heading2"/>
      </w:pPr>
      <w:bookmarkStart w:id="32" w:name="certificate-usage"/>
      <w:r>
        <w:t xml:space="preserve">1.4 Certificate Usage</w:t>
      </w:r>
      <w:bookmarkEnd w:id="32"/>
    </w:p>
    <w:p>
      <w:pPr>
        <w:pStyle w:val="Heading3"/>
      </w:pPr>
      <w:bookmarkStart w:id="33" w:name="appropriate-certificate-uses"/>
      <w:r>
        <w:t xml:space="preserve">1.4.1 Appropriate Certificate Uses</w:t>
      </w:r>
      <w:bookmarkEnd w:id="33"/>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p>
      <w:pPr>
        <w:pStyle w:val="Heading3"/>
      </w:pPr>
      <w:bookmarkStart w:id="34" w:name="prohibited-certificate-uses"/>
      <w:r>
        <w:t xml:space="preserve">1.4.2 Prohibited Certificate Uses</w:t>
      </w:r>
      <w:bookmarkEnd w:id="34"/>
    </w:p>
    <w:p>
      <w:pPr>
        <w:pStyle w:val="FirstParagraph"/>
      </w:pPr>
      <w:r>
        <w:t xml:space="preserve">No stipulation.</w:t>
      </w:r>
    </w:p>
    <w:p>
      <w:pPr>
        <w:pStyle w:val="Heading2"/>
      </w:pPr>
      <w:bookmarkStart w:id="35" w:name="policy-administration"/>
      <w:r>
        <w:t xml:space="preserve">1.5 Policy administration</w:t>
      </w:r>
      <w:bookmarkEnd w:id="35"/>
    </w:p>
    <w:p>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questions@cabforum.org. The Forum members value all input, regardless of source, and will seriously consider all such input.</w:t>
      </w:r>
    </w:p>
    <w:p>
      <w:pPr>
        <w:pStyle w:val="Heading3"/>
      </w:pPr>
      <w:bookmarkStart w:id="36" w:name="organization-administering-the-document"/>
      <w:r>
        <w:t xml:space="preserve">1.5.1 Organization Administering the Document</w:t>
      </w:r>
      <w:bookmarkEnd w:id="36"/>
    </w:p>
    <w:p>
      <w:pPr>
        <w:pStyle w:val="FirstParagraph"/>
      </w:pPr>
      <w:r>
        <w:t xml:space="preserve">No stipulation.</w:t>
      </w:r>
    </w:p>
    <w:p>
      <w:pPr>
        <w:pStyle w:val="Heading3"/>
      </w:pPr>
      <w:bookmarkStart w:id="37" w:name="contact-person"/>
      <w:r>
        <w:t xml:space="preserve">1.5.2 Contact Person</w:t>
      </w:r>
      <w:bookmarkEnd w:id="37"/>
    </w:p>
    <w:p>
      <w:pPr>
        <w:pStyle w:val="FirstParagraph"/>
      </w:pPr>
      <w:r>
        <w:t xml:space="preserve">Contact information for the CA/Browser Forum is available here: https://cabforum.org/leadership/. In this section of a CA’s CPS, the CA shall provide a link to a web page or an email address for contacting the person or persons responsible for operation of the CA.</w:t>
      </w:r>
    </w:p>
    <w:p>
      <w:pPr>
        <w:pStyle w:val="Heading3"/>
      </w:pPr>
      <w:bookmarkStart w:id="38" w:name="X7fb56467ad1463e45b06305ad3c8f3ab1aeb09f"/>
      <w:r>
        <w:t xml:space="preserve">1.5.3 Person Determining CPS suitability for the policy</w:t>
      </w:r>
      <w:bookmarkEnd w:id="38"/>
    </w:p>
    <w:p>
      <w:pPr>
        <w:pStyle w:val="FirstParagraph"/>
      </w:pPr>
      <w:r>
        <w:t xml:space="preserve">No stipulation.</w:t>
      </w:r>
    </w:p>
    <w:p>
      <w:pPr>
        <w:pStyle w:val="Heading3"/>
      </w:pPr>
      <w:bookmarkStart w:id="39" w:name="cps-approval-procedures"/>
      <w:r>
        <w:t xml:space="preserve">1.5.4 CPS approval procedures</w:t>
      </w:r>
      <w:bookmarkEnd w:id="39"/>
    </w:p>
    <w:p>
      <w:pPr>
        <w:pStyle w:val="FirstParagraph"/>
      </w:pPr>
      <w:r>
        <w:t xml:space="preserve">No stipulation.</w:t>
      </w:r>
    </w:p>
    <w:p>
      <w:pPr>
        <w:pStyle w:val="Heading2"/>
      </w:pPr>
      <w:bookmarkStart w:id="40" w:name="definitions-and-acronyms"/>
      <w:r>
        <w:t xml:space="preserve">1.6 Definitions and Acronyms</w:t>
      </w:r>
      <w:bookmarkEnd w:id="40"/>
    </w:p>
    <w:p>
      <w:pPr>
        <w:pStyle w:val="Heading3"/>
      </w:pPr>
      <w:bookmarkStart w:id="41" w:name="definitions"/>
      <w:r>
        <w:t xml:space="preserve">1.6.1 Definitions</w:t>
      </w:r>
      <w:bookmarkEnd w:id="41"/>
    </w:p>
    <w:p>
      <w:pPr>
        <w:pStyle w:val="FirstParagraph"/>
      </w:pPr>
      <w:r>
        <w:rPr>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
        </w:rPr>
        <w:t xml:space="preserve">Applicant</w:t>
      </w:r>
      <w: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
        </w:rPr>
        <w:t xml:space="preserve">Applicant Representative</w:t>
      </w:r>
      <w:r>
        <w:t xml:space="preserve">: A natural person or human sponsor who is either the Applicant, employed by the Applicant, or an authorized agent who has express authority to represent the Applicant: (i) who signs and submits, or approves a certificate request on behalf of the Applicant, and/or (ii) who signs and submits a Subscriber Agreement on behalf of the Applicant, and/or (iii) who acknowledges the Terms of Use on behalf of the Applicant when the Applicant is an Affiliate of the CA or is the CA.</w:t>
      </w:r>
    </w:p>
    <w:p>
      <w:pPr>
        <w:pStyle w:val="BodyText"/>
      </w:pPr>
      <w:r>
        <w:rPr>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section 8.1.</w:t>
      </w:r>
    </w:p>
    <w:p>
      <w:pPr>
        <w:pStyle w:val="BodyText"/>
      </w:pPr>
      <w:r>
        <w:rPr>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
        </w:rPr>
        <w:t xml:space="preserve">Authorization Domain Name</w:t>
      </w:r>
      <w:r>
        <w:t xml:space="preserve">: The Domain Name used to obtain authorization for certificate issuance for a given FQDN. The CA may use the FQDN returned from a DNS CNAME lookup as the FQDN for the purposes of domain validation. If the FQDN contains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p>
      <w:pPr>
        <w:pStyle w:val="BodyText"/>
      </w:pPr>
      <w:r>
        <w:rPr>
          <w:b/>
        </w:rPr>
        <w:t xml:space="preserve">Authorized Ports</w:t>
      </w:r>
      <w:r>
        <w:t xml:space="preserve">: One of the following ports: 80 (http), 443 (https), 25 (smtp), 22 (ssh).</w:t>
      </w:r>
    </w:p>
    <w:p>
      <w:pPr>
        <w:pStyle w:val="BodyText"/>
      </w:pPr>
      <w:r>
        <w:rPr>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
        </w:rPr>
        <w:t xml:space="preserve">CAA</w:t>
      </w:r>
      <w:r>
        <w:t xml:space="preserve">: From RFC 6844 (</w:t>
      </w:r>
      <w:hyperlink r:id="rId42">
        <w:r>
          <w:rPr>
            <w:rStyle w:val="Hyperlink"/>
          </w:rPr>
          <w:t xml:space="preserve">http://tools.ietf.org/html/rfc6844</w:t>
        </w:r>
      </w:hyperlink>
      <w:r>
        <w:t xml:space="preserve">):</w:t>
      </w:r>
      <w:r>
        <w:t xml:space="preserve"> </w:t>
      </w:r>
      <w:r>
        <w:t xml:space="preserve">“</w:t>
      </w:r>
      <w:r>
        <w:t xml:space="preserve">The Certification Authority Authorization (CAA) DNS Resource Record allows a DNS domain name holder to specify the Certification Authorities (CAs) authorized to issue certificates for that domain. Publication of CAA Resource Records allows a public Certification Authority to implement additional controls to reduce the risk of unintended certificate mis-issue.</w:t>
      </w:r>
      <w:r>
        <w:t xml:space="preserve">”</w:t>
      </w:r>
    </w:p>
    <w:p>
      <w:pPr>
        <w:pStyle w:val="BodyText"/>
      </w:pPr>
      <w:r>
        <w:rPr>
          <w:b/>
        </w:rPr>
        <w:t xml:space="preserve">Certificate</w:t>
      </w:r>
      <w:r>
        <w:t xml:space="preserve">: An electronic document that uses a digital signature to bind a public key and an identity.</w:t>
      </w:r>
    </w:p>
    <w:p>
      <w:pPr>
        <w:pStyle w:val="BodyText"/>
      </w:pPr>
      <w:r>
        <w:rPr>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
        </w:rPr>
        <w:t xml:space="preserve">Certificate Revocation List</w:t>
      </w:r>
      <w:r>
        <w:t xml:space="preserve">: A regularly updated time-stamped list of revoked Certificates that is created and digitally signed by the CA that issued the Certificates.</w:t>
      </w:r>
    </w:p>
    <w:p>
      <w:pPr>
        <w:pStyle w:val="BodyText"/>
      </w:pPr>
      <w:r>
        <w:rPr>
          <w:b/>
        </w:rPr>
        <w:t xml:space="preserve">Certification Authority</w:t>
      </w:r>
      <w:r>
        <w:t xml:space="preserve">: An organization that is responsible for the creation, issuance, revocation, and management of Certificates. The term applies equally to both Roots CAs and Subordinate CAs.</w:t>
      </w:r>
    </w:p>
    <w:p>
      <w:pPr>
        <w:pStyle w:val="BodyText"/>
      </w:pPr>
      <w:r>
        <w:rPr>
          <w:b/>
        </w:rPr>
        <w:t xml:space="preserve">Certification Practice Statement</w:t>
      </w:r>
      <w:r>
        <w:t xml:space="preserve">: One of several documents forming the governance framework in which Certificates are created, issued, managed, and used.</w:t>
      </w:r>
    </w:p>
    <w:p>
      <w:pPr>
        <w:pStyle w:val="BodyText"/>
      </w:pPr>
      <w:r>
        <w:rPr>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
        </w:rPr>
        <w:t xml:space="preserve">Country</w:t>
      </w:r>
      <w:r>
        <w:t xml:space="preserve">: Either a member of the United Nations OR a geographic region recognized as a Sovereign State by at least two UN member nations.</w:t>
      </w:r>
    </w:p>
    <w:p>
      <w:pPr>
        <w:pStyle w:val="BodyText"/>
      </w:pPr>
      <w:r>
        <w:rPr>
          <w:b/>
        </w:rPr>
        <w:t xml:space="preserve">Cross Certificate</w:t>
      </w:r>
      <w:r>
        <w:t xml:space="preserve">: A certificate that is used to establish a trust relationship between two Root CAs.</w:t>
      </w:r>
    </w:p>
    <w:p>
      <w:pPr>
        <w:pStyle w:val="BodyText"/>
      </w:pPr>
      <w:r>
        <w:rPr>
          <w:b/>
        </w:rPr>
        <w:t xml:space="preserve">CSPRNG</w:t>
      </w:r>
      <w:r>
        <w:t xml:space="preserve">: A random number generator intended for use in cryptographic system.</w:t>
      </w:r>
    </w:p>
    <w:p>
      <w:pPr>
        <w:pStyle w:val="BodyText"/>
      </w:pPr>
      <w:r>
        <w:rPr>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
        </w:rPr>
        <w:t xml:space="preserve">DNS CAA Email Contact</w:t>
      </w:r>
      <w:r>
        <w:t xml:space="preserve">: The email address defined in section B.1.1.</w:t>
      </w:r>
    </w:p>
    <w:p>
      <w:pPr>
        <w:pStyle w:val="BodyText"/>
      </w:pPr>
      <w:r>
        <w:rPr>
          <w:b/>
        </w:rPr>
        <w:t xml:space="preserve">DNS CAA Phone Contact</w:t>
      </w:r>
      <w:r>
        <w:t xml:space="preserve">: The phone number defined in section B.1.2.</w:t>
      </w:r>
    </w:p>
    <w:p>
      <w:pPr>
        <w:pStyle w:val="BodyText"/>
      </w:pPr>
      <w:r>
        <w:rPr>
          <w:b/>
        </w:rPr>
        <w:t xml:space="preserve">DNS TXT Record Email Contact</w:t>
      </w:r>
      <w:r>
        <w:t xml:space="preserve">: The email address defined in section B.2.1.</w:t>
      </w:r>
    </w:p>
    <w:p>
      <w:pPr>
        <w:pStyle w:val="BodyText"/>
      </w:pPr>
      <w:r>
        <w:rPr>
          <w:b/>
        </w:rPr>
        <w:t xml:space="preserve">DNS TXT Record Phone Contact</w:t>
      </w:r>
      <w:r>
        <w:t xml:space="preserve">: The phone number defined in section B.2.2.</w:t>
      </w:r>
    </w:p>
    <w:p>
      <w:pPr>
        <w:pStyle w:val="BodyText"/>
      </w:pPr>
      <w:r>
        <w:rPr>
          <w:b/>
        </w:rPr>
        <w:t xml:space="preserve">Domain Authorization Document</w:t>
      </w:r>
      <w:r>
        <w:t xml:space="preserve">: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pPr>
        <w:pStyle w:val="BodyText"/>
      </w:pPr>
      <w:r>
        <w:rPr>
          <w:b/>
        </w:rPr>
        <w:t xml:space="preserve">Domain Contact</w:t>
      </w:r>
      <w:r>
        <w:t xml:space="preserve">: The Domain Name Registrant, technical contact, or administrative contact (or the equivalent under a ccTLD) as listed in the WHOIS record of the Base Domain Name or in a DNS SOA record, or as obtained through direct contact with the Domain Name Registrar.</w:t>
      </w:r>
    </w:p>
    <w:p>
      <w:pPr>
        <w:pStyle w:val="BodyText"/>
      </w:pPr>
      <w:r>
        <w:rPr>
          <w:b/>
        </w:rPr>
        <w:t xml:space="preserve">Domain Name</w:t>
      </w:r>
      <w:r>
        <w:t xml:space="preserve">: The label assigned to a node in the Domain Name System.</w:t>
      </w:r>
    </w:p>
    <w:p>
      <w:pPr>
        <w:pStyle w:val="BodyText"/>
      </w:pPr>
      <w:r>
        <w:rPr>
          <w:b/>
        </w:rPr>
        <w:t xml:space="preserve">Domain Namespace</w:t>
      </w:r>
      <w:r>
        <w:t xml:space="preserve">: The set of all possible Domain Names that are subordinate to a single node in the Domain Name System.</w:t>
      </w:r>
    </w:p>
    <w:p>
      <w:pPr>
        <w:pStyle w:val="BodyText"/>
      </w:pPr>
      <w:r>
        <w:rPr>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
        </w:rPr>
        <w:t xml:space="preserve">Domain Name Registrar</w:t>
      </w:r>
      <w:r>
        <w:t xml:space="preserve">: 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assignees).</w:t>
      </w:r>
    </w:p>
    <w:p>
      <w:pPr>
        <w:pStyle w:val="BodyText"/>
      </w:pPr>
      <w:r>
        <w:rPr>
          <w:b/>
        </w:rPr>
        <w:t xml:space="preserve">Enterprise RA</w:t>
      </w:r>
      <w:r>
        <w:t xml:space="preserve">: An employee or agent of an organization unaffiliated with the CA who authorizes issuance of Certificates to that organization.</w:t>
      </w:r>
    </w:p>
    <w:p>
      <w:pPr>
        <w:pStyle w:val="BodyText"/>
      </w:pPr>
      <w:r>
        <w:rPr>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
        </w:rPr>
        <w:t xml:space="preserve">Fully-Qualified Domain Name</w:t>
      </w:r>
      <w:r>
        <w:t xml:space="preserve">: A Domain Name that includes the labels of all superior nodes in the Internet Domain Name System.</w:t>
      </w:r>
    </w:p>
    <w:p>
      <w:pPr>
        <w:pStyle w:val="BodyText"/>
      </w:pPr>
      <w:r>
        <w:rPr>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
        </w:rPr>
        <w:t xml:space="preserve">IP Address</w:t>
      </w:r>
      <w:r>
        <w:t xml:space="preserve">: A 32-bit or 128-bit label assigned to a device that uses the Internet Protocol for communication.</w:t>
      </w:r>
    </w:p>
    <w:p>
      <w:pPr>
        <w:pStyle w:val="BodyText"/>
      </w:pPr>
      <w:r>
        <w:rPr>
          <w:b/>
        </w:rPr>
        <w:t xml:space="preserve">IP Address Contact</w:t>
      </w:r>
      <w:r>
        <w:t xml:space="preserve">: The person(s) or entity(ies) registered with an IP Address Registration Authority as having the right to control how one or more IP Addresses are used.</w:t>
      </w:r>
    </w:p>
    <w:p>
      <w:pPr>
        <w:pStyle w:val="BodyText"/>
      </w:pPr>
      <w:r>
        <w:rPr>
          <w:b/>
        </w:rPr>
        <w:t xml:space="preserve">IP Address Registration Authority</w:t>
      </w:r>
      <w:r>
        <w:t xml:space="preserve">: The Internet Assigned Numbers Authority (IANA) or a Regional Internet Registry (RIPE, APNIC, ARIN, AfriNIC, LACNIC).</w:t>
      </w:r>
    </w:p>
    <w:p>
      <w:pPr>
        <w:pStyle w:val="BodyText"/>
      </w:pPr>
      <w:r>
        <w:rPr>
          <w:b/>
        </w:rPr>
        <w:t xml:space="preserve">Issuing CA</w:t>
      </w:r>
      <w:r>
        <w:t xml:space="preserve">: In relation to a particular Certificate, the CA that issued the Certificate. This could be either a Root CA or a Subordinate CA.</w:t>
      </w:r>
    </w:p>
    <w:p>
      <w:pPr>
        <w:pStyle w:val="BodyText"/>
      </w:pPr>
      <w:r>
        <w:rPr>
          <w:b/>
        </w:rPr>
        <w:t xml:space="preserve">Key Compromise</w:t>
      </w:r>
      <w:r>
        <w:t xml:space="preserve">: A Private Key is said to be compromised if its value has been disclosed to an unauthorized person, or an unauthorized person has had access to it.</w:t>
      </w:r>
    </w:p>
    <w:p>
      <w:pPr>
        <w:pStyle w:val="BodyText"/>
      </w:pPr>
      <w:r>
        <w:rPr>
          <w:b/>
        </w:rPr>
        <w:t xml:space="preserve">Key Generation Script</w:t>
      </w:r>
      <w:r>
        <w:t xml:space="preserve">: A documented plan of procedures for the generation of a CA Key Pair</w:t>
      </w:r>
      <w:r>
        <w:t xml:space="preserve"> </w:t>
      </w:r>
      <w:r>
        <w:rPr>
          <w:b/>
        </w:rPr>
        <w:t xml:space="preserve">.</w:t>
      </w:r>
    </w:p>
    <w:p>
      <w:pPr>
        <w:pStyle w:val="BodyText"/>
      </w:pPr>
      <w:r>
        <w:rPr>
          <w:b/>
        </w:rPr>
        <w:t xml:space="preserve">Key Pair</w:t>
      </w:r>
      <w:r>
        <w:t xml:space="preserve">: The Private Key and its associated Public Key.</w:t>
      </w:r>
    </w:p>
    <w:p>
      <w:pPr>
        <w:pStyle w:val="BodyText"/>
      </w:pPr>
      <w:r>
        <w:rPr>
          <w:b/>
        </w:rPr>
        <w:t xml:space="preserve">Legal Entity</w:t>
      </w:r>
      <w:r>
        <w:t xml:space="preserve">: An association, corporation, partnership, proprietorship, trust, government entity or other entity with legal standing in a country’s legal system.</w:t>
      </w:r>
    </w:p>
    <w:p>
      <w:pPr>
        <w:pStyle w:val="BodyText"/>
      </w:pPr>
      <w:r>
        <w:rPr>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
        </w:rPr>
        <w:t xml:space="preserve">Parent Company</w:t>
      </w:r>
      <w:r>
        <w:t xml:space="preserve">: A company that Controls a Subsidiary Company.</w:t>
      </w:r>
    </w:p>
    <w:p>
      <w:pPr>
        <w:pStyle w:val="BodyText"/>
      </w:pPr>
      <w:r>
        <w:rPr>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
        </w:rPr>
        <w:t xml:space="preserve">Qualified Auditor</w:t>
      </w:r>
      <w:r>
        <w:t xml:space="preserve">: A natural person or Legal Entity that meets the requirements of Section 8.2.</w:t>
      </w:r>
    </w:p>
    <w:p>
      <w:pPr>
        <w:pStyle w:val="BodyText"/>
      </w:pPr>
      <w:r>
        <w:rPr>
          <w:b/>
        </w:rPr>
        <w:t xml:space="preserve">Random Value</w:t>
      </w:r>
      <w:r>
        <w:t xml:space="preserve">: A value specified by a CA to the Applicant that exhibits at least 112 bits of entropy.</w:t>
      </w:r>
    </w:p>
    <w:p>
      <w:pPr>
        <w:pStyle w:val="BodyText"/>
      </w:pPr>
      <w:r>
        <w:rPr>
          <w:b/>
        </w:rPr>
        <w:t xml:space="preserve">Registered Domain Name</w:t>
      </w:r>
      <w:r>
        <w:t xml:space="preserve">: A Domain Name that has been registered with a Domain Name Registrar.</w:t>
      </w:r>
    </w:p>
    <w:p>
      <w:pPr>
        <w:pStyle w:val="BodyText"/>
      </w:pPr>
      <w:r>
        <w:rPr>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
        </w:rPr>
        <w:t xml:space="preserve">Note:</w:t>
      </w:r>
      <w:r>
        <w:t xml:space="preserve"> </w:t>
      </w:r>
      <w:r>
        <w:t xml:space="preserve">Examples of Request Tokens include, but are not limited to:</w:t>
      </w:r>
      <w:r>
        <w:t xml:space="preserve"> </w:t>
      </w:r>
      <w:r>
        <w:t xml:space="preserve">(i) a hash of the public key; or</w:t>
      </w:r>
      <w:r>
        <w:t xml:space="preserve"> </w:t>
      </w:r>
      <w:r>
        <w:t xml:space="preserve">(ii) a hash of the Subject Public Key Info [X.509]; or</w:t>
      </w:r>
      <w:r>
        <w:t xml:space="preserve"> </w:t>
      </w:r>
      <w:r>
        <w:t xml:space="preserve">(iii) a hash of a PKCS#10 CSR.</w:t>
      </w:r>
      <w:r>
        <w:t xml:space="preserve"> </w:t>
      </w: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
        </w:rPr>
        <w:t xml:space="preserve">Required Website Content</w:t>
      </w:r>
      <w:r>
        <w:t xml:space="preserve">: Either a Random Value or a Request Token, together with additional information that uniquely identifies the Subscriber, as specified by the CA.</w:t>
      </w:r>
    </w:p>
    <w:p>
      <w:pPr>
        <w:pStyle w:val="BodyText"/>
      </w:pPr>
      <w:r>
        <w:rPr>
          <w:b/>
        </w:rPr>
        <w:t xml:space="preserve">Requirements</w:t>
      </w:r>
      <w:r>
        <w:t xml:space="preserve">: The Baseline Requirements found in this document.</w:t>
      </w:r>
    </w:p>
    <w:p>
      <w:pPr>
        <w:pStyle w:val="BodyText"/>
      </w:pPr>
      <w:r>
        <w:rPr>
          <w:b/>
        </w:rPr>
        <w:t xml:space="preserve">Reserved IP Address</w:t>
      </w:r>
      <w:r>
        <w:t xml:space="preserve">: An IPv4 or IPv6 address that the IANA has marked as reserved:</w:t>
      </w:r>
    </w:p>
    <w:p>
      <w:pPr>
        <w:pStyle w:val="BodyText"/>
      </w:pPr>
      <w:hyperlink r:id="rId43">
        <w:r>
          <w:rPr>
            <w:rStyle w:val="Hyperlink"/>
          </w:rPr>
          <w:t xml:space="preserve">http://www.iana.org/assignments/ipv4-address-space/ipv4-address-space.xml</w:t>
        </w:r>
      </w:hyperlink>
    </w:p>
    <w:p>
      <w:pPr>
        <w:pStyle w:val="BodyText"/>
      </w:pPr>
      <w:hyperlink r:id="rId44">
        <w:r>
          <w:rPr>
            <w:rStyle w:val="Hyperlink"/>
          </w:rPr>
          <w:t xml:space="preserve">http://www.iana.org/assignments/ipv6-address-space/ipv6-address-space.xml</w:t>
        </w:r>
      </w:hyperlink>
    </w:p>
    <w:p>
      <w:pPr>
        <w:pStyle w:val="BodyText"/>
      </w:pPr>
      <w:r>
        <w:rPr>
          <w:b/>
        </w:rPr>
        <w:t xml:space="preserve">Root CA</w:t>
      </w:r>
      <w:r>
        <w:t xml:space="preserve">: The top level Certification Authority whose Root Certificate is distributed by Application Software Suppliers and that issues Subordinate CA Certificates.</w:t>
      </w:r>
    </w:p>
    <w:p>
      <w:pPr>
        <w:pStyle w:val="BodyText"/>
      </w:pPr>
      <w:r>
        <w:rPr>
          <w:b/>
        </w:rPr>
        <w:t xml:space="preserve">Root Certificate</w:t>
      </w:r>
      <w:r>
        <w:t xml:space="preserve">: The self-signed Certificate issued by the Root CA to identify itself and to facilitate verification of Certificates issued to its Subordinate CAs.</w:t>
      </w:r>
    </w:p>
    <w:p>
      <w:pPr>
        <w:pStyle w:val="BodyText"/>
      </w:pPr>
      <w:r>
        <w:rPr>
          <w:b/>
        </w:rPr>
        <w:t xml:space="preserve">Sovereign State</w:t>
      </w:r>
      <w:r>
        <w:t xml:space="preserve">: A state or country that administers its own government, and is not dependent upon, or subject to, another power.</w:t>
      </w:r>
    </w:p>
    <w:p>
      <w:pPr>
        <w:pStyle w:val="BodyText"/>
      </w:pPr>
      <w:r>
        <w:rPr>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
        </w:rPr>
        <w:t xml:space="preserve">Subject Identity Information</w:t>
      </w:r>
      <w:r>
        <w:t xml:space="preserve">: Information that identifies the Certificate Subject. Subject Identity Information does not include a domain name listed in the subjectAltName extension or the Subject commonName field.</w:t>
      </w:r>
    </w:p>
    <w:p>
      <w:pPr>
        <w:pStyle w:val="BodyText"/>
      </w:pPr>
      <w:r>
        <w:rPr>
          <w:b/>
        </w:rPr>
        <w:t xml:space="preserve">Subordinate CA</w:t>
      </w:r>
      <w:r>
        <w:t xml:space="preserve">: A Certification Authority whose Certificate is signed by the Root CA, or another Subordinate CA.</w:t>
      </w:r>
    </w:p>
    <w:p>
      <w:pPr>
        <w:pStyle w:val="BodyText"/>
      </w:pPr>
      <w:r>
        <w:rPr>
          <w:b/>
        </w:rPr>
        <w:t xml:space="preserve">Subscriber</w:t>
      </w:r>
      <w:r>
        <w:t xml:space="preserve">: A natural person or Legal Entity to whom a Certificate is issued and who is legally bound by a Subscriber Agreement or Terms of Use.</w:t>
      </w:r>
    </w:p>
    <w:p>
      <w:pPr>
        <w:pStyle w:val="BodyText"/>
      </w:pPr>
      <w:r>
        <w:rPr>
          <w:b/>
        </w:rPr>
        <w:t xml:space="preserve">Subscriber Agreement</w:t>
      </w:r>
      <w:r>
        <w:t xml:space="preserve">: An agreement between the CA and the Applicant/Subscriber that specifies the rights and responsibilities of the parties.</w:t>
      </w:r>
    </w:p>
    <w:p>
      <w:pPr>
        <w:pStyle w:val="BodyText"/>
      </w:pPr>
      <w:r>
        <w:rPr>
          <w:b/>
        </w:rPr>
        <w:t xml:space="preserve">Subsidiary Company</w:t>
      </w:r>
      <w:r>
        <w:t xml:space="preserve">: A company that is controlled by a Parent Company.</w:t>
      </w:r>
    </w:p>
    <w:p>
      <w:pPr>
        <w:pStyle w:val="BodyText"/>
      </w:pPr>
      <w:r>
        <w:rPr>
          <w:b/>
        </w:rPr>
        <w:t xml:space="preserve">Technically Constrained Subordinate CA Certificate</w:t>
      </w:r>
      <w:r>
        <w:t xml:space="preserve">: A Subordinate CA certificate which uses a combination of Extended Key Usage settings and Name Constraint settings to limit the scope within which the Subordinate CA Certificate may issue Subscriber or additional Subordinate CA Certificates.</w:t>
      </w:r>
    </w:p>
    <w:p>
      <w:pPr>
        <w:pStyle w:val="BodyText"/>
      </w:pPr>
      <w:r>
        <w:rPr>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
        </w:rPr>
        <w:t xml:space="preserve">Test Certificate</w:t>
      </w:r>
      <w:r>
        <w:t xml:space="preserve">: This term is no longer used in these Baseline Requirements.</w:t>
      </w:r>
    </w:p>
    <w:p>
      <w:pPr>
        <w:pStyle w:val="BodyText"/>
      </w:pPr>
      <w:r>
        <w:rPr>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
        </w:rPr>
        <w:t xml:space="preserve">Unregistered Domain Name</w:t>
      </w:r>
      <w:r>
        <w:t xml:space="preserve">: A Domain Name that is not a Registered Domain Name.</w:t>
      </w:r>
    </w:p>
    <w:p>
      <w:pPr>
        <w:pStyle w:val="BodyText"/>
      </w:pPr>
      <w:r>
        <w:rPr>
          <w:b/>
        </w:rPr>
        <w:t xml:space="preserve">Valid Certificate</w:t>
      </w:r>
      <w:r>
        <w:t xml:space="preserve">: A Certificate that passes the validation procedure specified in RFC 5280.</w:t>
      </w:r>
    </w:p>
    <w:p>
      <w:pPr>
        <w:pStyle w:val="BodyText"/>
      </w:pPr>
      <w:r>
        <w:rPr>
          <w:b/>
        </w:rPr>
        <w:t xml:space="preserve">Validation Specialists</w:t>
      </w:r>
      <w:r>
        <w:t xml:space="preserve">: Someone who performs the information verification duties specified by these Requirements.</w:t>
      </w:r>
    </w:p>
    <w:p>
      <w:pPr>
        <w:pStyle w:val="BodyText"/>
      </w:pPr>
      <w:r>
        <w:rPr>
          <w:b/>
        </w:rPr>
        <w:t xml:space="preserve">Validity Period</w:t>
      </w:r>
      <w:r>
        <w:t xml:space="preserve">: The period of time measured from the date when the Certificate is issued until the Expiry Date.</w:t>
      </w:r>
    </w:p>
    <w:p>
      <w:pPr>
        <w:pStyle w:val="BodyText"/>
      </w:pPr>
      <w:r>
        <w:rPr>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
        </w:rPr>
        <w:t xml:space="preserve">Wildcard Certificate</w:t>
      </w:r>
      <w:r>
        <w:t xml:space="preserve">: A Certificate containing an asterisk (*) in the left-most position of any of the Subject Fully-Qualified Domain Names contained in the Certificate.</w:t>
      </w:r>
    </w:p>
    <w:p>
      <w:pPr>
        <w:pStyle w:val="BodyText"/>
      </w:pPr>
      <w:r>
        <w:rPr>
          <w:b/>
        </w:rPr>
        <w:t xml:space="preserve">Wildcard Domain Name</w:t>
      </w:r>
      <w:r>
        <w:t xml:space="preserve">: A Domain Name consisting of a single asterisk character followed by a single full stop character (</w:t>
      </w:r>
      <w:r>
        <w:t xml:space="preserve">“</w:t>
      </w:r>
      <w:r>
        <w:t xml:space="preserve">*.</w:t>
      </w:r>
      <w:r>
        <w:t xml:space="preserve">”</w:t>
      </w:r>
      <w:r>
        <w:t xml:space="preserve">) followed by a Fully-Qualified Domain Name.</w:t>
      </w:r>
    </w:p>
    <w:p>
      <w:pPr>
        <w:pStyle w:val="Heading3"/>
      </w:pPr>
      <w:bookmarkStart w:id="45" w:name="acronyms"/>
      <w:r>
        <w:t xml:space="preserve">1.6.2 Acronyms</w:t>
      </w:r>
      <w:bookmarkEnd w:id="45"/>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Acronym</w:t>
            </w:r>
          </w:p>
        </w:tc>
        <w:tc>
          <w:tcPr>
            <w:tcBorders>
              <w:bottom w:val="single"/>
            </w:tcBorders>
            <w:vAlign w:val="bottom"/>
          </w:tcPr>
          <w:p>
            <w:pPr>
              <w:pStyle w:val="Compact"/>
              <w:jc w:val="left"/>
            </w:pPr>
            <w:r>
              <w:rPr>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 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p>
      <w:pPr>
        <w:pStyle w:val="Heading3"/>
      </w:pPr>
      <w:bookmarkStart w:id="46" w:name="references"/>
      <w:r>
        <w:t xml:space="preserve">1.6.3 References</w:t>
      </w:r>
      <w:bookmarkEnd w:id="46"/>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v.1.0, 1/1/2013.</w:t>
      </w:r>
    </w:p>
    <w:p>
      <w:pPr>
        <w:pStyle w:val="BodyText"/>
      </w:pPr>
      <w:r>
        <w:t xml:space="preserve">NIST SP 800-89, Recommendation for Obtaining Assurances for Digital Signature Applications,</w:t>
      </w:r>
      <w:r>
        <w:t xml:space="preserve"> </w:t>
      </w:r>
      <w:hyperlink r:id="rId47">
        <w:r>
          <w:rPr>
            <w:rStyle w:val="Hyperlink"/>
          </w:rPr>
          <w:t xml:space="preserve">http://csrc.nist.gov/publications/nistpubs/800-89/SP-800-89_November2006.pdf</w:t>
        </w:r>
      </w:hyperlink>
      <w:r>
        <w:t xml:space="preserve">.</w:t>
      </w:r>
    </w:p>
    <w:p>
      <w:pPr>
        <w:pStyle w:val="BodyText"/>
      </w:pPr>
      <w:r>
        <w:t xml:space="preserve">RFC2119, Request for Comments: 2119, Key words for use in RFCs to Indicate Requirement Levels, Bradner, March 1997.</w:t>
      </w:r>
    </w:p>
    <w:p>
      <w:pPr>
        <w:pStyle w:val="BodyText"/>
      </w:pPr>
      <w:r>
        <w:t xml:space="preserve">RFC2527, Request for Comments: 2527, Internet X.509 Public Key Infrastructure: Certificate Policy and Certification Practices Framework, Chokhani, et al, March 1999.</w:t>
      </w:r>
    </w:p>
    <w:p>
      <w:pPr>
        <w:pStyle w:val="BodyText"/>
      </w:pPr>
      <w:r>
        <w:t xml:space="preserve">RFC3647, Request for Comments: 3647, Internet X.509 Public Key Infrastructure: Certificate Policy and Certification Practices Framework, Chokhani, et al, November 2003.</w:t>
      </w:r>
    </w:p>
    <w:p>
      <w:pPr>
        <w:pStyle w:val="BodyText"/>
      </w:pPr>
      <w:r>
        <w:t xml:space="preserve">RFC3912, Request for Comments: 3912, WHOIS Protocol Specification, Daigle, September 2004.</w:t>
      </w:r>
    </w:p>
    <w:p>
      <w:pPr>
        <w:pStyle w:val="BodyText"/>
      </w:pPr>
      <w:r>
        <w:t xml:space="preserve">RFC4366, Request for Comments: 4366, Transport Layer Security (TLS) Extensions, Blake-Wilson, et al, April 2006.</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Cooper et al, May 2008.</w:t>
      </w:r>
    </w:p>
    <w:p>
      <w:pPr>
        <w:pStyle w:val="BodyText"/>
      </w:pPr>
      <w:r>
        <w:t xml:space="preserve">RFC6844, Request for Comments: 6844, DNS Certification Authority Authorization (CAA) Resource Record, Hallam-Baker, Stradling, January 2013.</w:t>
      </w:r>
    </w:p>
    <w:p>
      <w:pPr>
        <w:pStyle w:val="BodyText"/>
      </w:pPr>
      <w:r>
        <w:t xml:space="preserve">RFC6960, Request for Comments: 6960, X.509 Internet Public Key Infrastructure Online Certificate Status Protocol - OCSP. Santesson, Myers, Ankney, Malpani, Galperin, Adams, June 2013.</w:t>
      </w:r>
    </w:p>
    <w:p>
      <w:pPr>
        <w:pStyle w:val="BodyText"/>
      </w:pPr>
      <w:r>
        <w:t xml:space="preserve">RFC6962, Request for Comments: 6962, Certificate Transparency. B. Laurie, A. Langley, E. Kasper. June 2013.</w:t>
      </w:r>
    </w:p>
    <w:p>
      <w:pPr>
        <w:pStyle w:val="BodyText"/>
      </w:pPr>
      <w:r>
        <w:t xml:space="preserve">RFC7482, Request for Comments: 7482, Registration Data Access Protocol (RDAP) Query Format, Newton, et al, March 2015.</w:t>
      </w:r>
    </w:p>
    <w:p>
      <w:pPr>
        <w:pStyle w:val="BodyText"/>
      </w:pPr>
      <w:r>
        <w:t xml:space="preserve">WebTrust for Certification Authorities, SSL Baseline with Network Security, Version 2.0, available at http://www.webtrust.org/homepage-documents/item79806.pdf.</w:t>
      </w:r>
    </w:p>
    <w:p>
      <w:pPr>
        <w:pStyle w:val="BodyText"/>
      </w:pPr>
      <w:r>
        <w:t xml:space="preserve">X.509, Recommendation ITU-T X.509 (10/2012) | ISO/IEC 9594-8:2014 (E), Information technology – Open Systems Interconnection – The Directory: Public-key and attribute certificate frameworks.</w:t>
      </w:r>
    </w:p>
    <w:p>
      <w:pPr>
        <w:pStyle w:val="Heading3"/>
      </w:pPr>
      <w:bookmarkStart w:id="48" w:name="conventions"/>
      <w:r>
        <w:t xml:space="preserve">1.6.4 Conventions</w:t>
      </w:r>
      <w:bookmarkEnd w:id="48"/>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Heading1"/>
      </w:pPr>
      <w:bookmarkStart w:id="49" w:name="Xdc01db3bec2df60ea1a1619de06aec4026a2acd"/>
      <w:r>
        <w:t xml:space="preserve">2. PUBLICATION AND REPOSITORY RESPONSIBILITIES</w:t>
      </w:r>
      <w:bookmarkEnd w:id="49"/>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p>
      <w:pPr>
        <w:pStyle w:val="Heading2"/>
      </w:pPr>
      <w:bookmarkStart w:id="50" w:name="repositories"/>
      <w:r>
        <w:t xml:space="preserve">2.1 Repositories</w:t>
      </w:r>
      <w:bookmarkEnd w:id="50"/>
    </w:p>
    <w:p>
      <w:pPr>
        <w:pStyle w:val="FirstParagraph"/>
      </w:pPr>
      <w:r>
        <w:t xml:space="preserve">The CA SHALL make revocation information for Subordinate Certificates and Subscriber Certificates available in accordance with this Policy.</w:t>
      </w:r>
    </w:p>
    <w:p>
      <w:pPr>
        <w:pStyle w:val="Heading2"/>
      </w:pPr>
      <w:bookmarkStart w:id="51" w:name="publication-of-information"/>
      <w:r>
        <w:t xml:space="preserve">2.2 Publication of information</w:t>
      </w:r>
      <w:bookmarkEnd w:id="51"/>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Section 8.1).</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 Qualified Domain Names; that policy shall be consistent with these Requirements. It shall clearly specify the set of Issuer Domain Names that the CA recognises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Certificates published at http://www.cabforum.org.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 (i) valid, (ii) revoked, and (iii) expired.</w:t>
      </w:r>
    </w:p>
    <w:p>
      <w:pPr>
        <w:pStyle w:val="Heading2"/>
      </w:pPr>
      <w:bookmarkStart w:id="52" w:name="time-or-frequency-of-publication"/>
      <w:r>
        <w:t xml:space="preserve">2.3 Time or frequency of publication</w:t>
      </w:r>
      <w:bookmarkEnd w:id="52"/>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p>
      <w:pPr>
        <w:pStyle w:val="Heading2"/>
      </w:pPr>
      <w:bookmarkStart w:id="53" w:name="access-controls-on-repositories"/>
      <w:r>
        <w:t xml:space="preserve">2.4 Access controls on repositories</w:t>
      </w:r>
      <w:bookmarkEnd w:id="53"/>
    </w:p>
    <w:p>
      <w:pPr>
        <w:pStyle w:val="FirstParagraph"/>
      </w:pPr>
      <w:r>
        <w:t xml:space="preserve">The CA shall make its Repository publicly available in a read-only manner.</w:t>
      </w:r>
    </w:p>
    <w:p>
      <w:pPr>
        <w:pStyle w:val="Heading1"/>
      </w:pPr>
      <w:bookmarkStart w:id="54" w:name="identification-and-authentication"/>
      <w:r>
        <w:t xml:space="preserve">3. IDENTIFICATION AND AUTHENTICATION</w:t>
      </w:r>
      <w:bookmarkEnd w:id="54"/>
    </w:p>
    <w:p>
      <w:pPr>
        <w:pStyle w:val="Heading2"/>
      </w:pPr>
      <w:bookmarkStart w:id="55" w:name="naming"/>
      <w:r>
        <w:t xml:space="preserve">3.1 Naming</w:t>
      </w:r>
      <w:bookmarkEnd w:id="55"/>
    </w:p>
    <w:p>
      <w:pPr>
        <w:pStyle w:val="Heading3"/>
      </w:pPr>
      <w:bookmarkStart w:id="56" w:name="types-of-names"/>
      <w:r>
        <w:t xml:space="preserve">3.1.1 Types of names</w:t>
      </w:r>
      <w:bookmarkEnd w:id="56"/>
    </w:p>
    <w:p>
      <w:pPr>
        <w:pStyle w:val="Heading3"/>
      </w:pPr>
      <w:bookmarkStart w:id="57" w:name="need-for-names-to-be-meaningful"/>
      <w:r>
        <w:t xml:space="preserve">3.1.2 Need for names to be meaningful</w:t>
      </w:r>
      <w:bookmarkEnd w:id="57"/>
    </w:p>
    <w:p>
      <w:pPr>
        <w:pStyle w:val="Heading3"/>
      </w:pPr>
      <w:bookmarkStart w:id="58" w:name="anonymity-or-pseudonymity-of-subscribers"/>
      <w:r>
        <w:t xml:space="preserve">3.1.3 Anonymity or pseudonymity of subscribers</w:t>
      </w:r>
      <w:bookmarkEnd w:id="58"/>
    </w:p>
    <w:p>
      <w:pPr>
        <w:pStyle w:val="Heading3"/>
      </w:pPr>
      <w:bookmarkStart w:id="59" w:name="X0981297690dc7ea50d8a80b3b3d111a09d895d9"/>
      <w:r>
        <w:t xml:space="preserve">3.1.4 Rules for interpreting various name forms</w:t>
      </w:r>
      <w:bookmarkEnd w:id="59"/>
    </w:p>
    <w:p>
      <w:pPr>
        <w:pStyle w:val="Heading3"/>
      </w:pPr>
      <w:bookmarkStart w:id="60" w:name="uniqueness-of-names"/>
      <w:r>
        <w:t xml:space="preserve">3.1.5 Uniqueness of names</w:t>
      </w:r>
      <w:bookmarkEnd w:id="60"/>
    </w:p>
    <w:p>
      <w:pPr>
        <w:pStyle w:val="Heading3"/>
      </w:pPr>
      <w:bookmarkStart w:id="61" w:name="X30af0bd716804f2bc51a25eabdab3700c44dbd0"/>
      <w:r>
        <w:t xml:space="preserve">3.1.6 Recognition, authentication, and role of trademarks</w:t>
      </w:r>
      <w:bookmarkEnd w:id="61"/>
    </w:p>
    <w:p>
      <w:pPr>
        <w:pStyle w:val="Heading2"/>
      </w:pPr>
      <w:bookmarkStart w:id="62" w:name="initial-identity-validation"/>
      <w:r>
        <w:t xml:space="preserve">3.2 Initial identity validation</w:t>
      </w:r>
      <w:bookmarkEnd w:id="62"/>
    </w:p>
    <w:p>
      <w:pPr>
        <w:pStyle w:val="Heading3"/>
      </w:pPr>
      <w:bookmarkStart w:id="63" w:name="X06bb29b6c0377017fee0dbbc24cda70e8195ef8"/>
      <w:r>
        <w:t xml:space="preserve">3.2.1 Method to prove possession of private key</w:t>
      </w:r>
      <w:bookmarkEnd w:id="63"/>
    </w:p>
    <w:p>
      <w:pPr>
        <w:pStyle w:val="Heading3"/>
      </w:pPr>
      <w:bookmarkStart w:id="64" w:name="X2dc4d7b8fa68f8759a17004df9e9bbbff5b5a9a"/>
      <w:r>
        <w:t xml:space="preserve">3.2.2 Authentication of Organization and Domain Identity</w:t>
      </w:r>
      <w:bookmarkEnd w:id="64"/>
    </w:p>
    <w:p>
      <w:pPr>
        <w:pStyle w:val="FirstParagraph"/>
      </w:pPr>
      <w:r>
        <w:t xml:space="preserve">If the Applicant requests a Certificate that will contain Subject Identity Information comprised only of the countryName field, then the CA SHALL verify the country associated with the Subject using a verification process meeting the requirements of Section 3.2.2.3 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 Section 3.2.2.1 and that is described in the CA’s Certificate Policy and/or Certification Practice Statement. The CA SHALL inspect any document relied upon under this Section for alteration or falsification.</w:t>
      </w:r>
    </w:p>
    <w:p>
      <w:pPr>
        <w:pStyle w:val="Heading4"/>
      </w:pPr>
      <w:bookmarkStart w:id="65" w:name="identity"/>
      <w:r>
        <w:t xml:space="preserve">3.2.2.1 Identity</w:t>
      </w:r>
      <w:bookmarkEnd w:id="65"/>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3"/>
        </w:numPr>
      </w:pPr>
      <w:r>
        <w:t xml:space="preserve">A government agency in the jurisdiction of the Applicant’s legal creation, existence, or recognition;</w:t>
      </w:r>
    </w:p>
    <w:p>
      <w:pPr>
        <w:numPr>
          <w:ilvl w:val="0"/>
          <w:numId w:val="1003"/>
        </w:numPr>
      </w:pPr>
      <w:r>
        <w:t xml:space="preserve">A third party database that is periodically updated and considered a Reliable Data Source;</w:t>
      </w:r>
    </w:p>
    <w:p>
      <w:pPr>
        <w:numPr>
          <w:ilvl w:val="0"/>
          <w:numId w:val="1003"/>
        </w:numPr>
      </w:pPr>
      <w:r>
        <w:t xml:space="preserve">A site visit by the CA or a third party who is acting as an agent for the CA; or</w:t>
      </w:r>
    </w:p>
    <w:p>
      <w:pPr>
        <w:numPr>
          <w:ilvl w:val="0"/>
          <w:numId w:val="1003"/>
        </w:numPr>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p>
      <w:pPr>
        <w:pStyle w:val="Heading4"/>
      </w:pPr>
      <w:bookmarkStart w:id="66" w:name="dbatradename"/>
      <w:r>
        <w:t xml:space="preserve">3.2.2.2 DBA/Tradename</w:t>
      </w:r>
      <w:bookmarkEnd w:id="66"/>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4"/>
        </w:numPr>
      </w:pPr>
      <w:r>
        <w:t xml:space="preserve">Documentation provided by, or communication with, a government agency in the jurisdiction of the Applicant’s legal creation, existence, or recognition;</w:t>
      </w:r>
    </w:p>
    <w:p>
      <w:pPr>
        <w:numPr>
          <w:ilvl w:val="0"/>
          <w:numId w:val="1004"/>
        </w:numPr>
      </w:pPr>
      <w:r>
        <w:t xml:space="preserve">A Reliable Data Source;</w:t>
      </w:r>
    </w:p>
    <w:p>
      <w:pPr>
        <w:numPr>
          <w:ilvl w:val="0"/>
          <w:numId w:val="1004"/>
        </w:numPr>
      </w:pPr>
      <w:r>
        <w:t xml:space="preserve">Communication with a government agency responsible for the management of such DBAs or tradenames;</w:t>
      </w:r>
    </w:p>
    <w:p>
      <w:pPr>
        <w:numPr>
          <w:ilvl w:val="0"/>
          <w:numId w:val="1004"/>
        </w:numPr>
      </w:pPr>
      <w:r>
        <w:t xml:space="preserve">An Attestation Letter accompanied by documentary support; or</w:t>
      </w:r>
    </w:p>
    <w:p>
      <w:pPr>
        <w:numPr>
          <w:ilvl w:val="0"/>
          <w:numId w:val="1004"/>
        </w:numPr>
      </w:pPr>
      <w:r>
        <w:t xml:space="preserve">A utility bill, bank statement, credit card statement, government-issued tax document, or other form of identification that the CA determines to be reliable.</w:t>
      </w:r>
    </w:p>
    <w:p>
      <w:pPr>
        <w:pStyle w:val="Heading4"/>
      </w:pPr>
      <w:bookmarkStart w:id="67" w:name="verification-of-country"/>
      <w:r>
        <w:t xml:space="preserve">3.2.2.3 Verification of Country</w:t>
      </w:r>
      <w:bookmarkEnd w:id="67"/>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 (a) the IP Address range assignment by country for either (i) the web site’s IP address, as indicated by the DNS record for the web site or (ii) the Applicant’s IP address; (b) the ccTLD of the requested Domain Name; (c) information provided by the Domain Name Registrar; or (d) a method identified in Section 3.2.2.1. The CA SHOULD implement a process to screen proxy servers in order to prevent reliance upon IP addresses assigned in countries other than where the Applicant is actually located.</w:t>
      </w:r>
    </w:p>
    <w:p>
      <w:pPr>
        <w:pStyle w:val="Heading4"/>
      </w:pPr>
      <w:bookmarkStart w:id="68" w:name="X523ed25b1ac0ff8dc1a93b4597db0009eb681ad"/>
      <w:r>
        <w:t xml:space="preserve">3.2.2.4 Validation of Domain Authorization or Control</w:t>
      </w:r>
      <w:bookmarkEnd w:id="68"/>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05"/>
        </w:numPr>
      </w:pPr>
      <w:r>
        <w:t xml:space="preserve">When the FQDN does not contain</w:t>
      </w:r>
      <w:r>
        <w:t xml:space="preserve"> </w:t>
      </w:r>
      <w:r>
        <w:t xml:space="preserve">“</w:t>
      </w:r>
      <w:r>
        <w:t xml:space="preserve">onion</w:t>
      </w:r>
      <w:r>
        <w:t xml:space="preserve">”</w:t>
      </w:r>
      <w:r>
        <w:t xml:space="preserve"> </w:t>
      </w:r>
      <w:r>
        <w:t xml:space="preserve">as the rightmost label, the CA SHALL validate the FQDN using at least one of the methods listed below; and</w:t>
      </w:r>
    </w:p>
    <w:p>
      <w:pPr>
        <w:numPr>
          <w:ilvl w:val="0"/>
          <w:numId w:val="1005"/>
        </w:numPr>
      </w:pPr>
      <w:r>
        <w:t xml:space="preserve">When the FQDN contains</w:t>
      </w:r>
      <w:r>
        <w:t xml:space="preserve"> </w:t>
      </w:r>
      <w:r>
        <w:t xml:space="preserve">“</w:t>
      </w:r>
      <w:r>
        <w:t xml:space="preserve">onion</w:t>
      </w:r>
      <w:r>
        <w:t xml:space="preserve">”</w:t>
      </w:r>
      <w:r>
        <w:t xml:space="preserve"> </w:t>
      </w:r>
      <w:r>
        <w:t xml:space="preserve">as the rightmost label, the CA SHALL validate the FQDN in accordance with Appendix C.</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 Section 4.2.1 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
        </w:rPr>
        <w:t xml:space="preserve">Note:</w:t>
      </w:r>
      <w:r>
        <w:t xml:space="preserve"> </w:t>
      </w:r>
      <w:r>
        <w:t xml:space="preserve">FQDNs may be listed in Subscriber Certificates using dNSNames in the subjectAltName extension or in Subordinate CA Certificates via dNSNames in permittedSubtrees within the Name Constraints extension.</w:t>
      </w:r>
    </w:p>
    <w:p>
      <w:pPr>
        <w:pStyle w:val="Heading5"/>
      </w:pPr>
      <w:bookmarkStart w:id="69" w:name="X7898d9badc394688b0e223096f5e0f1152e2e5e"/>
      <w:r>
        <w:t xml:space="preserve">3.2.2.4.1 Validating the Applicant as a Domain Contact</w:t>
      </w:r>
      <w:bookmarkEnd w:id="69"/>
    </w:p>
    <w:p>
      <w:pPr>
        <w:pStyle w:val="FirstParagraph"/>
      </w:pPr>
      <w:r>
        <w:t xml:space="preserve">This method has been retired and MUST NOT be used. Prior validations using this method and validation data gathered according to this method SHALL NOT be used to issue certificates.</w:t>
      </w:r>
    </w:p>
    <w:p>
      <w:pPr>
        <w:pStyle w:val="Heading5"/>
      </w:pPr>
      <w:bookmarkStart w:id="70" w:name="X31b3f1a6f87919b5c3b1e500807fb6b4c976022"/>
      <w:r>
        <w:t xml:space="preserve">3.2.2.4.2 Email, Fax, SMS, or Postal Mail to Domain Contact</w:t>
      </w:r>
      <w:bookmarkEnd w:id="70"/>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71" w:name="phone-contact-with-domain-contact"/>
      <w:r>
        <w:t xml:space="preserve">3.2.2.4.3 Phone Contact with Domain Contact</w:t>
      </w:r>
      <w:bookmarkEnd w:id="71"/>
    </w:p>
    <w:p>
      <w:pPr>
        <w:pStyle w:val="FirstParagraph"/>
      </w:pPr>
      <w:r>
        <w:t xml:space="preserve">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pPr>
        <w:pStyle w:val="BodyText"/>
      </w:pPr>
      <w:r>
        <w:t xml:space="preserve">Each phone call SHALL be made to a single number and MAY confirm control of multiple FQDNs, provided that the phone number is identified by the Domain Registrar as a valid contact method for every Base Domain Name being verified using the phone call.</w:t>
      </w:r>
    </w:p>
    <w:p>
      <w:pPr>
        <w:pStyle w:val="BodyText"/>
      </w:pPr>
      <w:r>
        <w:t xml:space="preserve">CAs SHALL NOT perform validations using this method after May 31, 2019. Completed validations using this method SHALL continue to be valid for subsequent issuance per the applicable certificate data reuse periods.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72" w:name="constructed-email-to-domain-contact"/>
      <w:r>
        <w:t xml:space="preserve">3.2.2.4.4 Constructed Email to Domain Contact</w:t>
      </w:r>
      <w:bookmarkEnd w:id="72"/>
    </w:p>
    <w:p>
      <w:pPr>
        <w:pStyle w:val="FirstParagraph"/>
      </w:pPr>
      <w:r>
        <w:t xml:space="preserve">Confirm the Applicant’s control over the FQDN by</w:t>
      </w:r>
      <w:r>
        <w:t xml:space="preserve"> </w:t>
      </w:r>
      <w:r>
        <w:t xml:space="preserve">1. 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r>
        <w:t xml:space="preserve"> </w:t>
      </w:r>
      <w:r>
        <w:t xml:space="preserve">1. including a Random Value in the email; and</w:t>
      </w:r>
      <w:r>
        <w:t xml:space="preserve"> </w:t>
      </w:r>
      <w:r>
        <w:t xml:space="preserve">1. receiving a confirming response utilizing the Random Value.</w:t>
      </w:r>
    </w:p>
    <w:p>
      <w:pPr>
        <w:pStyle w:val="BodyText"/>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73" w:name="domain-authorization-document"/>
      <w:r>
        <w:t xml:space="preserve">3.2.2.4.5 Domain Authorization Document</w:t>
      </w:r>
      <w:bookmarkEnd w:id="73"/>
    </w:p>
    <w:p>
      <w:pPr>
        <w:pStyle w:val="FirstParagraph"/>
      </w:pPr>
      <w:r>
        <w:t xml:space="preserve">This method has been retired and MUST NOT be used. Prior validations using this method and validation data gathered according to this method SHALL NOT be used to issue certificates.</w:t>
      </w:r>
    </w:p>
    <w:p>
      <w:pPr>
        <w:pStyle w:val="Heading5"/>
      </w:pPr>
      <w:bookmarkStart w:id="74" w:name="agreed-upon-change-to-website"/>
      <w:r>
        <w:t xml:space="preserve">3.2.2.4.6 Agreed-Upon Change to Website</w:t>
      </w:r>
      <w:bookmarkEnd w:id="74"/>
    </w:p>
    <w:p>
      <w:pPr>
        <w:pStyle w:val="FirstParagraph"/>
      </w:pPr>
      <w:r>
        <w:t xml:space="preserve">Confirming the Applicant’s control over the FQDN by confirming one of the following under the</w:t>
      </w:r>
      <w:r>
        <w:t xml:space="preserve"> </w:t>
      </w:r>
      <w:r>
        <w:t xml:space="preserve">“</w:t>
      </w:r>
      <w:r>
        <w:t xml:space="preserve">/.well-known/pki-validation</w:t>
      </w:r>
      <w:r>
        <w:t xml:space="preserve">”</w:t>
      </w:r>
      <w:r>
        <w:t xml:space="preserve"> </w:t>
      </w:r>
      <w:r>
        <w:t xml:space="preserve">directory, or another path registered with IANA for the purpose of Domain Validation, on the Authorization Domain Name that is accessible by the CA via HTTP/HTTPS over an Authorized Port:</w:t>
      </w:r>
    </w:p>
    <w:p>
      <w:pPr>
        <w:numPr>
          <w:ilvl w:val="0"/>
          <w:numId w:val="1006"/>
        </w:numPr>
      </w:pPr>
      <w:r>
        <w:t xml:space="preserve">The presence of Required Website Content contained in the content of a file. The entire Required Website Content MUST NOT appear in the request used to retrieve the file or web page, or</w:t>
      </w:r>
    </w:p>
    <w:p>
      <w:pPr>
        <w:numPr>
          <w:ilvl w:val="0"/>
          <w:numId w:val="1006"/>
        </w:numPr>
      </w:pPr>
      <w:r>
        <w:t xml:space="preserve">The presence of the Request Token or Random Value contained in the content of a file where the Request Token or Random Value MUST NOT appear in the request.</w:t>
      </w:r>
    </w:p>
    <w:p>
      <w:pPr>
        <w:pStyle w:val="FirstParagraph"/>
      </w:pPr>
      <w:r>
        <w:t xml:space="preserve">If a Random Value is used, the CA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4.2.1 of these Guidelines or Section 11.14.3 of the EV Guidelines).</w:t>
      </w:r>
    </w:p>
    <w:p>
      <w:pPr>
        <w:pStyle w:val="BodyText"/>
      </w:pPr>
      <w:r>
        <w:t xml:space="preserve">CAs MUST NOT perform validation using this method after 3 months from the IPR review date of Ballot SC25. CAs MAY continue to re-use information and validations for domains validated under this method per the applicable certificate data reuse periods.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75" w:name="dns-change"/>
      <w:r>
        <w:t xml:space="preserve">3.2.2.4.7 DNS Change</w:t>
      </w:r>
      <w:bookmarkEnd w:id="75"/>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label that begins with an underscore character.</w:t>
      </w:r>
    </w:p>
    <w:p>
      <w:pPr>
        <w:pStyle w:val="BodyText"/>
      </w:pPr>
      <w:r>
        <w:t xml:space="preserve">If a Random Value is used, the CA SHALL provide a Random Value unique to the Certificate request and SHALL not use the Random Value after (i) 30 days or (ii) if the Applicant submitted the Certificate request, the timeframe permitted for reuse of validated information relevant to the Certificate (such as in Section 3.3.1 of these Guidelines or Section 11.14.3 of the EV Guidelines).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76" w:name="ip-address"/>
      <w:r>
        <w:t xml:space="preserve">3.2.2.4.8 IP Address</w:t>
      </w:r>
      <w:bookmarkEnd w:id="76"/>
    </w:p>
    <w:p>
      <w:pPr>
        <w:pStyle w:val="FirstParagraph"/>
      </w:pPr>
      <w:r>
        <w:t xml:space="preserve">Confirming the Applicant’s control over the FQDN by confirming that the Applicant controls an IP address returned from a DNS lookup for A or AAAA records for the FQDN in accordance with section 3.2.2.5.</w:t>
      </w:r>
    </w:p>
    <w:p>
      <w:pPr>
        <w:pStyle w:val="BodyText"/>
      </w:pPr>
      <w:r>
        <w:rPr>
          <w:b/>
        </w:rPr>
        <w:t xml:space="preserve">Note:</w:t>
      </w:r>
      <w:r>
        <w:t xml:space="preserve"> </w:t>
      </w:r>
      <w:r>
        <w:t xml:space="preserve">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p>
      <w:pPr>
        <w:pStyle w:val="Heading5"/>
      </w:pPr>
      <w:bookmarkStart w:id="77" w:name="test-certificate"/>
      <w:r>
        <w:t xml:space="preserve">3.2.2.4.9 Test Certificate</w:t>
      </w:r>
      <w:bookmarkEnd w:id="77"/>
    </w:p>
    <w:p>
      <w:pPr>
        <w:pStyle w:val="FirstParagraph"/>
      </w:pPr>
      <w:r>
        <w:t xml:space="preserve">This method has been retired and MUST NOT be used. Prior validations using this method and validation data gathered according to this method SHALL NOT be used to issue certificates.</w:t>
      </w:r>
    </w:p>
    <w:p>
      <w:pPr>
        <w:pStyle w:val="Heading5"/>
      </w:pPr>
      <w:bookmarkStart w:id="78" w:name="tls-using-a-random-number"/>
      <w:r>
        <w:t xml:space="preserve">3.2.2.4.10 TLS Using a Random Number</w:t>
      </w:r>
      <w:bookmarkEnd w:id="78"/>
    </w:p>
    <w:p>
      <w:pPr>
        <w:pStyle w:val="FirstParagraph"/>
      </w:pPr>
      <w:r>
        <w:t xml:space="preserve">Confirming the Applicant’s control over the FQDN by confirming the presence of a Random Value within a Certificate on the Authorization Domain Name which is accessible by the CA via TLS over an Authorized Port.</w:t>
      </w:r>
    </w:p>
    <w:p>
      <w:pPr>
        <w:pStyle w:val="Heading5"/>
      </w:pPr>
      <w:bookmarkStart w:id="79" w:name="any-other-method"/>
      <w:r>
        <w:t xml:space="preserve">3.2.2.4.11 Any Other Method</w:t>
      </w:r>
      <w:bookmarkEnd w:id="79"/>
    </w:p>
    <w:p>
      <w:pPr>
        <w:pStyle w:val="FirstParagraph"/>
      </w:pPr>
      <w:r>
        <w:t xml:space="preserve">This method has been retired and MUST NOT be used.</w:t>
      </w:r>
    </w:p>
    <w:p>
      <w:pPr>
        <w:pStyle w:val="Heading5"/>
      </w:pPr>
      <w:bookmarkStart w:id="80" w:name="validating-applicant-as-a-domain-contact"/>
      <w:r>
        <w:t xml:space="preserve">3.2.2.4.12 Validating Applicant as a Domain Contact</w:t>
      </w:r>
      <w:bookmarkEnd w:id="80"/>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81" w:name="email-to-dns-caa-contact"/>
      <w:r>
        <w:t xml:space="preserve">3.2.2.4.13: Email to DNS CAA Contact</w:t>
      </w:r>
      <w:bookmarkEnd w:id="81"/>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6844 Section 4, as amended by Errata 5065 (Appendix A).</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82" w:name="email-to-dns-txt-contact"/>
      <w:r>
        <w:t xml:space="preserve">3.2.2.4.14: Email to DNS TXT Contact</w:t>
      </w:r>
      <w:bookmarkEnd w:id="82"/>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83" w:name="phone-contact-with-domain-contact-1"/>
      <w:r>
        <w:t xml:space="preserve">3.2.2.4.15 Phone Contact with Domain Contact</w:t>
      </w:r>
      <w:bookmarkEnd w:id="83"/>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84" w:name="X3b41ef193a0fd25bff458a3462a6bbe37319135"/>
      <w:r>
        <w:t xml:space="preserve">3.2.2.4.16 Phone Contact with DNS TXT Record Phone Contact</w:t>
      </w:r>
      <w:bookmarkEnd w:id="84"/>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MAY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5"/>
      </w:pPr>
      <w:bookmarkStart w:id="85" w:name="phone-contact-with-dns-caa-phone-contact"/>
      <w:r>
        <w:t xml:space="preserve">3.2.2.4.17 Phone Contact with DNS CAA Phone Contact</w:t>
      </w:r>
      <w:bookmarkEnd w:id="85"/>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6844 Section 4, as amended by Errata 5065 (Appendix A).</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4"/>
      </w:pPr>
      <w:bookmarkStart w:id="86" w:name="agreed-upon-change-to-website-v2"/>
      <w:r>
        <w:t xml:space="preserve">3.2.2.4.18 Agreed-Upon Change to Website v2</w:t>
      </w:r>
      <w:bookmarkEnd w:id="86"/>
    </w:p>
    <w:p>
      <w:pPr>
        <w:pStyle w:val="FirstParagraph"/>
      </w:pPr>
      <w:r>
        <w:t xml:space="preserve">Confirming the Applicant’s control over the FQDN by verifying that the Request Token or Random Value is contained in the contents of a file.</w:t>
      </w:r>
      <w:r>
        <w:t xml:space="preserve"> </w:t>
      </w:r>
      <w:r>
        <w:t xml:space="preserve">1. The entire Request Token or Random Value MUST NOT appear in the request used to retrieve the file, and</w:t>
      </w:r>
      <w:r>
        <w:t xml:space="preserve"> </w:t>
      </w:r>
      <w:r>
        <w:t xml:space="preserve">2. the CA MUST receive a successful HTTP response from the request (meaning a 2xx HTTP status code must be received).</w:t>
      </w:r>
    </w:p>
    <w:p>
      <w:pPr>
        <w:pStyle w:val="BodyText"/>
      </w:pPr>
      <w:r>
        <w:t xml:space="preserve">The file containing the Request Token or Random Number:</w:t>
      </w:r>
      <w:r>
        <w:t xml:space="preserve"> </w:t>
      </w:r>
      <w:r>
        <w:t xml:space="preserve">1. MUST be located on the Authorization Domain Name, and</w:t>
      </w:r>
      <w:r>
        <w:t xml:space="preserve"> </w:t>
      </w:r>
      <w:r>
        <w:t xml:space="preserve">2. MUST be located under the</w:t>
      </w:r>
      <w:r>
        <w:t xml:space="preserve"> </w:t>
      </w:r>
      <w:r>
        <w:t xml:space="preserve">“</w:t>
      </w:r>
      <w:r>
        <w:t xml:space="preserve">/.well-known/pki-validation</w:t>
      </w:r>
      <w:r>
        <w:t xml:space="preserve">”</w:t>
      </w:r>
      <w:r>
        <w:t xml:space="preserve"> </w:t>
      </w:r>
      <w:r>
        <w:t xml:space="preserve">directory, and</w:t>
      </w:r>
      <w:r>
        <w:t xml:space="preserve"> </w:t>
      </w:r>
      <w:r>
        <w:t xml:space="preserve">3. 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r>
        <w:t xml:space="preserve"> </w:t>
      </w:r>
      <w:r>
        <w:t xml:space="preserve">4. MUST be accessed over an Authorized Port.</w:t>
      </w:r>
    </w:p>
    <w:p>
      <w:pPr>
        <w:pStyle w:val="BodyText"/>
      </w:pPr>
      <w:r>
        <w:t xml:space="preserve">If the CA follows redirects the following apply:</w:t>
      </w:r>
      <w:r>
        <w:t xml:space="preserve"> </w:t>
      </w:r>
      <w:r>
        <w:t xml:space="preserve">1. Redirects MUST be initiated at the HTTP protocol layer (e.g. using a 3xx status code).</w:t>
      </w:r>
      <w:r>
        <w:t xml:space="preserve"> </w:t>
      </w:r>
      <w:r>
        <w:t xml:space="preserve">2. Redirects MUST be the result of an HTTP status code result within the 3xx Redirection class of status codes, as defined in RFC 7231, Section 6.4.</w:t>
      </w:r>
      <w:r>
        <w:t xml:space="preserve"> </w:t>
      </w:r>
      <w:r>
        <w:t xml:space="preserve">3. 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r>
        <w:t xml:space="preserve"> </w:t>
      </w:r>
      <w:r>
        <w:t xml:space="preserve">4. Redirects MUST be to resource URLs accessed via Authorized Ports.</w:t>
      </w:r>
    </w:p>
    <w:p>
      <w:pPr>
        <w:pStyle w:val="BodyText"/>
      </w:pPr>
      <w:r>
        <w:t xml:space="preserve">If a Random Value is used, then:</w:t>
      </w:r>
      <w:r>
        <w:t xml:space="preserve"> </w:t>
      </w:r>
      <w:r>
        <w:t xml:space="preserve">1. The CA MUST provide a Random Value unique to the certificate request.</w:t>
      </w:r>
      <w:r>
        <w:t xml:space="preserve"> </w:t>
      </w:r>
      <w:r>
        <w:t xml:space="preserve">2. The Random Value MUST remain valid for use in a confirming response for no more than 30 days from its creation. The CPS MAY specify a shorter validity period for Random Values, in which case the CA MUST follow its CPS.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4"/>
      </w:pPr>
      <w:bookmarkStart w:id="87" w:name="agreed-upon-change-to-website---acme"/>
      <w:r>
        <w:t xml:space="preserve">3.2.2.4.19 Agreed-Upon Change to Website - ACME</w:t>
      </w:r>
      <w:bookmarkEnd w:id="87"/>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w:t>
      </w:r>
      <w:r>
        <w:t xml:space="preserve"> </w:t>
      </w:r>
      <w:r>
        <w:t xml:space="preserve">1. Redirects MUST be initiated at the HTTP protocol layer (e.g. using a 3xx status code).</w:t>
      </w:r>
      <w:r>
        <w:t xml:space="preserve"> </w:t>
      </w:r>
      <w:r>
        <w:t xml:space="preserve">2. Redirects MUST be the result of an HTTP status code result within the 3xx Redirection class of status codes, as defined in RFC 7231, Section 6.4.</w:t>
      </w:r>
      <w:r>
        <w:t xml:space="preserve"> </w:t>
      </w:r>
      <w:r>
        <w:t xml:space="preserve">3. 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r>
        <w:t xml:space="preserve"> </w:t>
      </w:r>
      <w:r>
        <w:t xml:space="preserve">4. Redirects MUST be to resource URLs accessed via Authorized Ports.</w:t>
      </w:r>
    </w:p>
    <w:p>
      <w:pPr>
        <w:pStyle w:val="BodyText"/>
      </w:pPr>
      <w:r>
        <w:rPr>
          <w:b/>
        </w:rPr>
        <w:t xml:space="preserve">Note:</w:t>
      </w:r>
      <w:r>
        <w:t xml:space="preserve"> </w:t>
      </w:r>
      <w:r>
        <w:t xml:space="preserve">Once the FQDN has been validated using this method, the CA MAY also issue Certificates for other FQDNs that end with all the labels of the validated FQDN. This method is suitable for validating Wildcard Domain Names.</w:t>
      </w:r>
    </w:p>
    <w:p>
      <w:pPr>
        <w:pStyle w:val="Heading4"/>
      </w:pPr>
      <w:bookmarkStart w:id="88" w:name="authentication-for-an-ip-address"/>
      <w:r>
        <w:t xml:space="preserve">3.2.2.5 Authentication for an IP Address</w:t>
      </w:r>
      <w:bookmarkEnd w:id="88"/>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 Section 4.2.1 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p>
      <w:pPr>
        <w:pStyle w:val="BodyText"/>
      </w:pPr>
      <w:r>
        <w:rPr>
          <w:b/>
        </w:rPr>
        <w:t xml:space="preserve">Note:</w:t>
      </w:r>
      <w:r>
        <w:t xml:space="preserve"> </w:t>
      </w:r>
      <w:r>
        <w:t xml:space="preserve">IP Addresses verified in accordance with this section 3.2.5 may be listed in Subscriber Certificates as defined in section 7.1.4.2 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p>
      <w:pPr>
        <w:pStyle w:val="Heading5"/>
      </w:pPr>
      <w:bookmarkStart w:id="89" w:name="agreed-upon-change-to-website-1"/>
      <w:r>
        <w:t xml:space="preserve">3.2.2.5.1. Agreed-Upon Change to Website</w:t>
      </w:r>
      <w:bookmarkEnd w:id="89"/>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4.2.1 of this document).</w:t>
      </w:r>
    </w:p>
    <w:p>
      <w:pPr>
        <w:pStyle w:val="Heading5"/>
      </w:pPr>
      <w:bookmarkStart w:id="90" w:name="X8bf627053bd22381d54a3fdd17584cc8bfd2a7c"/>
      <w:r>
        <w:t xml:space="preserve">3.2.2.5.2. Email, Fax, SMS, or Postal Mail to IP Address Contact</w:t>
      </w:r>
      <w:bookmarkEnd w:id="90"/>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Heading5"/>
      </w:pPr>
      <w:bookmarkStart w:id="91" w:name="reverse-address-lookup"/>
      <w:r>
        <w:t xml:space="preserve">3.2.2.5.3. Reverse Address Lookup</w:t>
      </w:r>
      <w:bookmarkEnd w:id="91"/>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 BR Section 3.2.2.4.</w:t>
      </w:r>
    </w:p>
    <w:p>
      <w:pPr>
        <w:pStyle w:val="Heading5"/>
      </w:pPr>
      <w:bookmarkStart w:id="92" w:name="any-other-method-1"/>
      <w:r>
        <w:t xml:space="preserve">3.2.2.5.4. Any Other Method</w:t>
      </w:r>
      <w:bookmarkEnd w:id="92"/>
    </w:p>
    <w:p>
      <w:pPr>
        <w:pStyle w:val="FirstParagraph"/>
      </w:pPr>
      <w:r>
        <w:t xml:space="preserve">Using any other method of confirmation, including variations of the methods defined in BR Section 3.2.2.5,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p>
      <w:pPr>
        <w:pStyle w:val="Heading5"/>
      </w:pPr>
      <w:bookmarkStart w:id="93" w:name="phone-contact-with-ip-address-contact"/>
      <w:r>
        <w:t xml:space="preserve">3.2.2.5.5. Phone Contact with IP Address Contact</w:t>
      </w:r>
      <w:bookmarkEnd w:id="93"/>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Heading5"/>
      </w:pPr>
      <w:bookmarkStart w:id="94" w:name="acme-http-01-method-for-ip-addresses"/>
      <w:r>
        <w:t xml:space="preserve">3.2.2.5.6 ACME</w:t>
      </w:r>
      <w:r>
        <w:t xml:space="preserve"> </w:t>
      </w:r>
      <w:r>
        <w:t xml:space="preserve">“</w:t>
      </w:r>
      <w:r>
        <w:t xml:space="preserve">http-01</w:t>
      </w:r>
      <w:r>
        <w:t xml:space="preserve">”</w:t>
      </w:r>
      <w:r>
        <w:t xml:space="preserve"> </w:t>
      </w:r>
      <w:r>
        <w:t xml:space="preserve">method for IP Addresses</w:t>
      </w:r>
      <w:bookmarkEnd w:id="94"/>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 https://tools.ietf.org/html/draft-ietf-acme-ip-04#section-4.</w:t>
      </w:r>
    </w:p>
    <w:p>
      <w:pPr>
        <w:pStyle w:val="Heading5"/>
      </w:pPr>
      <w:bookmarkStart w:id="95" w:name="acme-tls-alpn-01-method-for-ip-addresses"/>
      <w:r>
        <w:t xml:space="preserve">3.2.2.5.7 ACME</w:t>
      </w:r>
      <w:r>
        <w:t xml:space="preserve"> </w:t>
      </w:r>
      <w:r>
        <w:t xml:space="preserve">“</w:t>
      </w:r>
      <w:r>
        <w:t xml:space="preserve">tls-alpn-01</w:t>
      </w:r>
      <w:r>
        <w:t xml:space="preserve">”</w:t>
      </w:r>
      <w:r>
        <w:t xml:space="preserve"> </w:t>
      </w:r>
      <w:r>
        <w:t xml:space="preserve">method for IP Addresses</w:t>
      </w:r>
      <w:bookmarkEnd w:id="95"/>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 https://tools.ietf.org/html/draft-ietf-acme-ip-04#section-4.</w:t>
      </w:r>
    </w:p>
    <w:p>
      <w:pPr>
        <w:pStyle w:val="Heading4"/>
      </w:pPr>
      <w:bookmarkStart w:id="96" w:name="wildcard-domain-validation"/>
      <w:r>
        <w:t xml:space="preserve">3.2.2.6 Wildcard Domain Validation</w:t>
      </w:r>
      <w:bookmarkEnd w:id="96"/>
    </w:p>
    <w:p>
      <w:pPr>
        <w:pStyle w:val="FirstParagraph"/>
      </w:pPr>
      <w:r>
        <w:t xml:space="preserve">Before issuing a certificate with a wildcard character (*) in a CN or subjectAltName of type DNS-ID, the CA MUST establish and follow a documented procedure that determines if the wildcard character occurs in the first label position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a wildcard would fall within the label immediately to the left of a registry-controlled /1 or public suffix,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97">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p>
      <w:pPr>
        <w:pStyle w:val="Heading4"/>
      </w:pPr>
      <w:bookmarkStart w:id="98" w:name="data-source-accuracy"/>
      <w:r>
        <w:t xml:space="preserve">3.2.2.7 Data Source Accuracy</w:t>
      </w:r>
      <w:bookmarkEnd w:id="98"/>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07"/>
        </w:numPr>
      </w:pPr>
      <w:r>
        <w:t xml:space="preserve">The age of the information provided,</w:t>
      </w:r>
    </w:p>
    <w:p>
      <w:pPr>
        <w:numPr>
          <w:ilvl w:val="0"/>
          <w:numId w:val="1007"/>
        </w:numPr>
      </w:pPr>
      <w:r>
        <w:t xml:space="preserve">The frequency of updates to the information source,</w:t>
      </w:r>
    </w:p>
    <w:p>
      <w:pPr>
        <w:numPr>
          <w:ilvl w:val="0"/>
          <w:numId w:val="1007"/>
        </w:numPr>
      </w:pPr>
      <w:r>
        <w:t xml:space="preserve">The data provider and purpose of the data collection,</w:t>
      </w:r>
    </w:p>
    <w:p>
      <w:pPr>
        <w:numPr>
          <w:ilvl w:val="0"/>
          <w:numId w:val="1007"/>
        </w:numPr>
      </w:pPr>
      <w:r>
        <w:t xml:space="preserve">The public accessibility of the data availability, and</w:t>
      </w:r>
    </w:p>
    <w:p>
      <w:pPr>
        <w:numPr>
          <w:ilvl w:val="0"/>
          <w:numId w:val="1007"/>
        </w:numPr>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 Section 3.2.</w:t>
      </w:r>
    </w:p>
    <w:p>
      <w:pPr>
        <w:pStyle w:val="Heading4"/>
      </w:pPr>
      <w:bookmarkStart w:id="99" w:name="caa-records"/>
      <w:r>
        <w:t xml:space="preserve">3.2.2.8. CAA Records</w:t>
      </w:r>
      <w:bookmarkEnd w:id="99"/>
    </w:p>
    <w:p>
      <w:pPr>
        <w:pStyle w:val="FirstParagraph"/>
      </w:pPr>
      <w:r>
        <w:t xml:space="preserve">As part of the issuance process, the CA MUST check for CAA records and follow the processing instructions found, for each dNSName in the subjectAltName extension of the certificate to be issued, as specififed in RFC 6844 as amended by Errata 5065 (Appendix A).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6844,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 CAs MAY treat a non-empty CAA Resource Record Set that does not contain any issue property tags (and also does not contain any issuewild property tags when performing CAA processing for a Wildcard Domain Name) as permission to issue, provided that no records in the CAA Resource Record Set otherwise prohibit issuance.</w:t>
      </w:r>
    </w:p>
    <w:p>
      <w:pPr>
        <w:pStyle w:val="BodyText"/>
      </w:pPr>
      <w:r>
        <w:t xml:space="preserve">RFC 6844 requires that CAs</w:t>
      </w:r>
      <w:r>
        <w:t xml:space="preserve"> </w:t>
      </w:r>
      <w:r>
        <w:t xml:space="preserve">“</w:t>
      </w:r>
      <w:r>
        <w:t xml:space="preserve">MUST NOT issue a certificate unless either (1) the certificate request is consistent with the applicable CAA Resource Record set or (2) an exception specified in the relevant Certificate Policy or Certification Practices Statement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08"/>
        </w:numPr>
      </w:pPr>
      <w:r>
        <w:t xml:space="preserve">CAA checking is optional for certificates for which a Certificate Transparency pre-certificate was created and logged in at least two public logs, and for which CAA was checked.</w:t>
      </w:r>
    </w:p>
    <w:p>
      <w:pPr>
        <w:numPr>
          <w:ilvl w:val="0"/>
          <w:numId w:val="1008"/>
        </w:numPr>
      </w:pPr>
      <w:r>
        <w:t xml:space="preserve">CAA checking is optional for certificates issued by a Technically Constrained Subordinate CA Certificate as set out in Baseline Requirements section 7.1.5, where the lack of CAA checking is an explicit contractual provision in the contract with the Applicant.</w:t>
      </w:r>
    </w:p>
    <w:p>
      <w:pPr>
        <w:numPr>
          <w:ilvl w:val="0"/>
          <w:numId w:val="1008"/>
        </w:numPr>
      </w:pPr>
      <w:r>
        <w:t xml:space="preserve">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09"/>
        </w:numPr>
      </w:pPr>
      <w:r>
        <w:t xml:space="preserve">the failure is outside the CA’s infrastructure; and</w:t>
      </w:r>
    </w:p>
    <w:p>
      <w:pPr>
        <w:numPr>
          <w:ilvl w:val="0"/>
          <w:numId w:val="1009"/>
        </w:numPr>
      </w:pPr>
      <w:r>
        <w:t xml:space="preserve">the lookup has been retried at least once; and</w:t>
      </w:r>
    </w:p>
    <w:p>
      <w:pPr>
        <w:numPr>
          <w:ilvl w:val="0"/>
          <w:numId w:val="1009"/>
        </w:numPr>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p>
      <w:pPr>
        <w:pStyle w:val="Heading3"/>
      </w:pPr>
      <w:bookmarkStart w:id="100" w:name="authentication-of-individual-identity"/>
      <w:r>
        <w:t xml:space="preserve">3.2.3 Authentication of individual identity</w:t>
      </w:r>
      <w:bookmarkEnd w:id="100"/>
    </w:p>
    <w:p>
      <w:pPr>
        <w:pStyle w:val="FirstParagraph"/>
      </w:pPr>
      <w:r>
        <w:t xml:space="preserve">If an Applicant subject to this Section 3.2.3 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p>
      <w:pPr>
        <w:pStyle w:val="Heading3"/>
      </w:pPr>
      <w:bookmarkStart w:id="101" w:name="non-verified-subscriber-information"/>
      <w:r>
        <w:t xml:space="preserve">3.2.4 Non-verified subscriber information</w:t>
      </w:r>
      <w:bookmarkEnd w:id="101"/>
    </w:p>
    <w:p>
      <w:pPr>
        <w:pStyle w:val="Heading3"/>
      </w:pPr>
      <w:bookmarkStart w:id="102" w:name="validation-of-authority"/>
      <w:r>
        <w:t xml:space="preserve">3.2.5 Validation of authority</w:t>
      </w:r>
      <w:bookmarkEnd w:id="102"/>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 section 3.2.2.1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pPr>
        <w:pStyle w:val="Heading3"/>
      </w:pPr>
      <w:bookmarkStart w:id="103" w:name="Xd68f6261941a3b5141e9e8386ede65ecf735ec6"/>
      <w:r>
        <w:t xml:space="preserve">3.2.6 Criteria for Interoperation or Certification</w:t>
      </w:r>
      <w:bookmarkEnd w:id="103"/>
    </w:p>
    <w:p>
      <w:pPr>
        <w:pStyle w:val="FirstParagraph"/>
      </w:pPr>
      <w:r>
        <w:t xml:space="preserve">The CA SHALL disclose all Cross Certificates that identify the CA as the Subject, provided that the CA arranged for or accepted the establishment of the trust relationship (i.e. the Cross Certificate at issue).</w:t>
      </w:r>
    </w:p>
    <w:p>
      <w:pPr>
        <w:pStyle w:val="Heading2"/>
      </w:pPr>
      <w:bookmarkStart w:id="104" w:name="X4d40dfb730d6b5d71e6e5ba93716d7ed5072af1"/>
      <w:r>
        <w:t xml:space="preserve">3.3 Identification and authentication for re-key requests</w:t>
      </w:r>
      <w:bookmarkEnd w:id="104"/>
    </w:p>
    <w:p>
      <w:pPr>
        <w:pStyle w:val="Heading3"/>
      </w:pPr>
      <w:bookmarkStart w:id="105" w:name="X7ba798f09137b13307b70860ac934d6f2ab537c"/>
      <w:r>
        <w:t xml:space="preserve">3.3.1 Identification and authentication for routine re-key</w:t>
      </w:r>
      <w:bookmarkEnd w:id="105"/>
    </w:p>
    <w:p>
      <w:pPr>
        <w:pStyle w:val="Heading3"/>
      </w:pPr>
      <w:bookmarkStart w:id="106" w:name="X9e25c4933f9f4bdc49f88eb77f7d77f3983ec61"/>
      <w:r>
        <w:t xml:space="preserve">3.3.2 Identification and authentication for re-key after revocation</w:t>
      </w:r>
      <w:bookmarkEnd w:id="106"/>
    </w:p>
    <w:p>
      <w:pPr>
        <w:pStyle w:val="Heading2"/>
      </w:pPr>
      <w:bookmarkStart w:id="107" w:name="X351dbe57f205da119c0bf37ed1eaaccf85d9837"/>
      <w:r>
        <w:t xml:space="preserve">3.4 Identification and authentication for revocation request</w:t>
      </w:r>
      <w:bookmarkEnd w:id="107"/>
    </w:p>
    <w:p>
      <w:pPr>
        <w:pStyle w:val="Heading1"/>
      </w:pPr>
      <w:bookmarkStart w:id="108" w:name="X9ed2201071684c51fe084135a0d7e5d8d05496d"/>
      <w:r>
        <w:t xml:space="preserve">4. CERTIFICATE LIFE-CYCLE OPERATIONAL REQUIREMENTS</w:t>
      </w:r>
      <w:bookmarkEnd w:id="108"/>
    </w:p>
    <w:p>
      <w:pPr>
        <w:pStyle w:val="Heading2"/>
      </w:pPr>
      <w:bookmarkStart w:id="109" w:name="certificate-application"/>
      <w:r>
        <w:t xml:space="preserve">4.1 Certificate Application</w:t>
      </w:r>
      <w:bookmarkEnd w:id="109"/>
    </w:p>
    <w:p>
      <w:pPr>
        <w:pStyle w:val="Heading3"/>
      </w:pPr>
      <w:bookmarkStart w:id="110" w:name="who-can-submit-a-certificate-application"/>
      <w:r>
        <w:t xml:space="preserve">4.1.1 Who can submit a certificate application</w:t>
      </w:r>
      <w:bookmarkEnd w:id="110"/>
    </w:p>
    <w:p>
      <w:pPr>
        <w:pStyle w:val="FirstParagraph"/>
      </w:pPr>
      <w:r>
        <w:t xml:space="preserve">In accordance with Section 5.5.2,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p>
      <w:pPr>
        <w:pStyle w:val="Heading3"/>
      </w:pPr>
      <w:bookmarkStart w:id="111" w:name="enrollment-process-and-responsibilities"/>
      <w:r>
        <w:t xml:space="preserve">4.1.2 Enrollment process and responsibilities</w:t>
      </w:r>
      <w:bookmarkEnd w:id="111"/>
    </w:p>
    <w:p>
      <w:pPr>
        <w:pStyle w:val="FirstParagraph"/>
      </w:pPr>
      <w:r>
        <w:t xml:space="preserve">Prior to the issuance of a Certificate, the CA SHALL obtain the following documentation from the Applicant:</w:t>
      </w:r>
    </w:p>
    <w:p>
      <w:pPr>
        <w:numPr>
          <w:ilvl w:val="0"/>
          <w:numId w:val="1010"/>
        </w:numPr>
      </w:pPr>
      <w:r>
        <w:t xml:space="preserve">A certificate request, which may be electronic; and</w:t>
      </w:r>
    </w:p>
    <w:p>
      <w:pPr>
        <w:numPr>
          <w:ilvl w:val="0"/>
          <w:numId w:val="1010"/>
        </w:numPr>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Section 4.2.1,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p>
      <w:pPr>
        <w:pStyle w:val="Heading2"/>
      </w:pPr>
      <w:bookmarkStart w:id="112" w:name="certificate-application-processing"/>
      <w:r>
        <w:t xml:space="preserve">4.2 Certificate application processing</w:t>
      </w:r>
      <w:bookmarkEnd w:id="112"/>
    </w:p>
    <w:p>
      <w:pPr>
        <w:pStyle w:val="Heading3"/>
      </w:pPr>
      <w:bookmarkStart w:id="113" w:name="X17479cbd9b55d77dd47c2bba27035a600ddf5d7"/>
      <w:r>
        <w:t xml:space="preserve">4.2.1 Performing identification and authentication functions</w:t>
      </w:r>
      <w:bookmarkEnd w:id="113"/>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 SubjectAltName extension.</w:t>
      </w:r>
    </w:p>
    <w:p>
      <w:pPr>
        <w:pStyle w:val="BodyText"/>
      </w:pPr>
      <w:r>
        <w:t xml:space="preserve">Section 6.3.2 limits the validity period of Subscriber Certificates. The CA MAY use the documents and data provided in Section 3.2 to verify certificate information, or may reuse previous validations themselves, provided that the CA obtained the data or document from a source specified under Section 3.2 or completed the validation itself no more than 825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pPr>
        <w:pStyle w:val="Heading3"/>
      </w:pPr>
      <w:bookmarkStart w:id="114" w:name="X1499961303be5e5ead2c924120dc3028c9cee5f"/>
      <w:r>
        <w:t xml:space="preserve">4.2.2 Approval or rejection of certificate applications</w:t>
      </w:r>
      <w:bookmarkEnd w:id="114"/>
    </w:p>
    <w:p>
      <w:pPr>
        <w:pStyle w:val="FirstParagraph"/>
      </w:pPr>
      <w:r>
        <w:t xml:space="preserve">CAs SHALL NOT issue certificates containing Internal Names (see section 7.1.4.2.1).</w:t>
      </w:r>
    </w:p>
    <w:p>
      <w:pPr>
        <w:pStyle w:val="Heading3"/>
      </w:pPr>
      <w:bookmarkStart w:id="115" w:name="time-to-process-certificate-applications"/>
      <w:r>
        <w:t xml:space="preserve">4.2.3 Time to process certificate applications</w:t>
      </w:r>
      <w:bookmarkEnd w:id="115"/>
    </w:p>
    <w:p>
      <w:pPr>
        <w:pStyle w:val="FirstParagraph"/>
      </w:pPr>
      <w:r>
        <w:t xml:space="preserve">No stipulation.</w:t>
      </w:r>
    </w:p>
    <w:p>
      <w:pPr>
        <w:pStyle w:val="Heading2"/>
      </w:pPr>
      <w:bookmarkStart w:id="116" w:name="certificate-issuance"/>
      <w:r>
        <w:t xml:space="preserve">4.3 Certificate issuance</w:t>
      </w:r>
      <w:bookmarkEnd w:id="116"/>
    </w:p>
    <w:p>
      <w:pPr>
        <w:pStyle w:val="Heading3"/>
      </w:pPr>
      <w:bookmarkStart w:id="117" w:name="ca-actions-during-certificate-issuance"/>
      <w:r>
        <w:t xml:space="preserve">4.3.1 CA actions during certificate issuance</w:t>
      </w:r>
      <w:bookmarkEnd w:id="117"/>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p>
      <w:pPr>
        <w:pStyle w:val="Heading3"/>
      </w:pPr>
      <w:bookmarkStart w:id="118" w:name="Xeb4f6dd5b30032c487a81cd02f63671ab141063"/>
      <w:r>
        <w:t xml:space="preserve">4.3.2 Notification to subscriber by the CA of issuance of certificate</w:t>
      </w:r>
      <w:bookmarkEnd w:id="118"/>
    </w:p>
    <w:p>
      <w:pPr>
        <w:pStyle w:val="FirstParagraph"/>
      </w:pPr>
      <w:r>
        <w:t xml:space="preserve">No stipulation.</w:t>
      </w:r>
    </w:p>
    <w:p>
      <w:pPr>
        <w:pStyle w:val="Heading2"/>
      </w:pPr>
      <w:bookmarkStart w:id="119" w:name="certificate-acceptance"/>
      <w:r>
        <w:t xml:space="preserve">4.4 Certificate acceptance</w:t>
      </w:r>
      <w:bookmarkEnd w:id="119"/>
    </w:p>
    <w:p>
      <w:pPr>
        <w:pStyle w:val="Heading3"/>
      </w:pPr>
      <w:bookmarkStart w:id="120" w:name="Xe73bb50ddf048a919f0ed31eb706c35a439dd58"/>
      <w:r>
        <w:t xml:space="preserve">4.4.1 Conduct constituting certificate acceptance</w:t>
      </w:r>
      <w:bookmarkEnd w:id="120"/>
    </w:p>
    <w:p>
      <w:pPr>
        <w:pStyle w:val="FirstParagraph"/>
      </w:pPr>
      <w:r>
        <w:t xml:space="preserve">No stipulation.</w:t>
      </w:r>
    </w:p>
    <w:p>
      <w:pPr>
        <w:pStyle w:val="Heading3"/>
      </w:pPr>
      <w:bookmarkStart w:id="121" w:name="publication-of-the-certificate-by-the-ca"/>
      <w:r>
        <w:t xml:space="preserve">4.4.2 Publication of the certificate by the CA</w:t>
      </w:r>
      <w:bookmarkEnd w:id="121"/>
    </w:p>
    <w:p>
      <w:pPr>
        <w:pStyle w:val="FirstParagraph"/>
      </w:pPr>
      <w:r>
        <w:t xml:space="preserve">No stipulation.</w:t>
      </w:r>
    </w:p>
    <w:p>
      <w:pPr>
        <w:pStyle w:val="Heading3"/>
      </w:pPr>
      <w:bookmarkStart w:id="122" w:name="Xa85b36589f67d60da7a8248d09248d6fdd417c0"/>
      <w:r>
        <w:t xml:space="preserve">4.4.3 Notification of certificate issuance by the CA to other entities</w:t>
      </w:r>
      <w:bookmarkEnd w:id="122"/>
    </w:p>
    <w:p>
      <w:pPr>
        <w:pStyle w:val="FirstParagraph"/>
      </w:pPr>
      <w:r>
        <w:t xml:space="preserve">No stipulation.</w:t>
      </w:r>
    </w:p>
    <w:p>
      <w:pPr>
        <w:pStyle w:val="Heading2"/>
      </w:pPr>
      <w:bookmarkStart w:id="123" w:name="key-pair-and-certificate-usage"/>
      <w:r>
        <w:t xml:space="preserve">4.5 Key pair and certificate usage</w:t>
      </w:r>
      <w:bookmarkEnd w:id="123"/>
    </w:p>
    <w:p>
      <w:pPr>
        <w:pStyle w:val="Heading3"/>
      </w:pPr>
      <w:bookmarkStart w:id="124" w:name="X69b0b69a501ec5b6642fff4f96013c4a4179420"/>
      <w:r>
        <w:t xml:space="preserve">4.5.1 Subscriber private key and certificate usage</w:t>
      </w:r>
      <w:bookmarkEnd w:id="124"/>
    </w:p>
    <w:p>
      <w:pPr>
        <w:pStyle w:val="FirstParagraph"/>
      </w:pPr>
      <w:r>
        <w:t xml:space="preserve">See Section 9.6.3, provisions 2. and 4.</w:t>
      </w:r>
    </w:p>
    <w:p>
      <w:pPr>
        <w:pStyle w:val="Heading3"/>
      </w:pPr>
      <w:bookmarkStart w:id="125" w:name="X24d59b9205ae8dd63c9e2646fe4580fa0987e6e"/>
      <w:r>
        <w:t xml:space="preserve">4.5.2 Relying party public key and certificate usage</w:t>
      </w:r>
      <w:bookmarkEnd w:id="125"/>
    </w:p>
    <w:p>
      <w:pPr>
        <w:pStyle w:val="FirstParagraph"/>
      </w:pPr>
      <w:r>
        <w:t xml:space="preserve">No stipulation.</w:t>
      </w:r>
    </w:p>
    <w:p>
      <w:pPr>
        <w:pStyle w:val="Heading2"/>
      </w:pPr>
      <w:bookmarkStart w:id="126" w:name="certificate-renewal"/>
      <w:r>
        <w:t xml:space="preserve">4.6 Certificate renewal</w:t>
      </w:r>
      <w:bookmarkEnd w:id="126"/>
    </w:p>
    <w:p>
      <w:pPr>
        <w:pStyle w:val="Heading3"/>
      </w:pPr>
      <w:bookmarkStart w:id="127" w:name="circumstance-for-certificate-renewal"/>
      <w:r>
        <w:t xml:space="preserve">4.6.1 Circumstance for certificate renewal</w:t>
      </w:r>
      <w:bookmarkEnd w:id="127"/>
    </w:p>
    <w:p>
      <w:pPr>
        <w:pStyle w:val="FirstParagraph"/>
      </w:pPr>
      <w:r>
        <w:t xml:space="preserve">No stipulation.</w:t>
      </w:r>
    </w:p>
    <w:p>
      <w:pPr>
        <w:pStyle w:val="Heading3"/>
      </w:pPr>
      <w:bookmarkStart w:id="128" w:name="who-may-request-renewal"/>
      <w:r>
        <w:t xml:space="preserve">4.6.2 Who may request renewal</w:t>
      </w:r>
      <w:bookmarkEnd w:id="128"/>
    </w:p>
    <w:p>
      <w:pPr>
        <w:pStyle w:val="FirstParagraph"/>
      </w:pPr>
      <w:r>
        <w:t xml:space="preserve">No stipulation.</w:t>
      </w:r>
    </w:p>
    <w:p>
      <w:pPr>
        <w:pStyle w:val="Heading3"/>
      </w:pPr>
      <w:bookmarkStart w:id="129" w:name="processing-certificate-renewal-requests"/>
      <w:r>
        <w:t xml:space="preserve">4.6.3 Processing certificate renewal requests</w:t>
      </w:r>
      <w:bookmarkEnd w:id="129"/>
    </w:p>
    <w:p>
      <w:pPr>
        <w:pStyle w:val="FirstParagraph"/>
      </w:pPr>
      <w:r>
        <w:t xml:space="preserve">No stipulation.</w:t>
      </w:r>
    </w:p>
    <w:p>
      <w:pPr>
        <w:pStyle w:val="Heading3"/>
      </w:pPr>
      <w:bookmarkStart w:id="130" w:name="X0fa8131b739486349952193474d228133b5fe5d"/>
      <w:r>
        <w:t xml:space="preserve">4.6.4 Notification of new certificate issuance to subscriber</w:t>
      </w:r>
      <w:bookmarkEnd w:id="130"/>
    </w:p>
    <w:p>
      <w:pPr>
        <w:pStyle w:val="FirstParagraph"/>
      </w:pPr>
      <w:r>
        <w:t xml:space="preserve">No stipulation.</w:t>
      </w:r>
    </w:p>
    <w:p>
      <w:pPr>
        <w:pStyle w:val="Heading3"/>
      </w:pPr>
      <w:bookmarkStart w:id="131" w:name="Xbc626ccd4546298a45740996e42ac61d6424261"/>
      <w:r>
        <w:t xml:space="preserve">4.6.5 Conduct constituting acceptance of a renewal certificate</w:t>
      </w:r>
      <w:bookmarkEnd w:id="131"/>
    </w:p>
    <w:p>
      <w:pPr>
        <w:pStyle w:val="FirstParagraph"/>
      </w:pPr>
      <w:r>
        <w:t xml:space="preserve">No stipulation.</w:t>
      </w:r>
    </w:p>
    <w:p>
      <w:pPr>
        <w:pStyle w:val="Heading3"/>
      </w:pPr>
      <w:bookmarkStart w:id="132" w:name="X926cdc4e072ff77568e06dc6a7f9ab52d322cff"/>
      <w:r>
        <w:t xml:space="preserve">4.6.6 Publication of the renewal certificate by the CA</w:t>
      </w:r>
      <w:bookmarkEnd w:id="132"/>
    </w:p>
    <w:p>
      <w:pPr>
        <w:pStyle w:val="FirstParagraph"/>
      </w:pPr>
      <w:r>
        <w:t xml:space="preserve">No stipulation.</w:t>
      </w:r>
    </w:p>
    <w:p>
      <w:pPr>
        <w:pStyle w:val="Heading3"/>
      </w:pPr>
      <w:bookmarkStart w:id="133" w:name="Xbd78106fdaa4af368a3ec46f76ef5cd22ab66a1"/>
      <w:r>
        <w:t xml:space="preserve">4.6.7 Notification of certificate issuance by the CA to other entities</w:t>
      </w:r>
      <w:bookmarkEnd w:id="133"/>
    </w:p>
    <w:p>
      <w:pPr>
        <w:pStyle w:val="FirstParagraph"/>
      </w:pPr>
      <w:r>
        <w:t xml:space="preserve">No stipulation.</w:t>
      </w:r>
    </w:p>
    <w:p>
      <w:pPr>
        <w:pStyle w:val="Heading2"/>
      </w:pPr>
      <w:bookmarkStart w:id="134" w:name="certificate-re-key"/>
      <w:r>
        <w:t xml:space="preserve">4.7 Certificate re-key</w:t>
      </w:r>
      <w:bookmarkEnd w:id="134"/>
    </w:p>
    <w:p>
      <w:pPr>
        <w:pStyle w:val="Heading3"/>
      </w:pPr>
      <w:bookmarkStart w:id="135" w:name="circumstance-for-certificate-re-key"/>
      <w:r>
        <w:t xml:space="preserve">4.7.1 Circumstance for certificate re-key</w:t>
      </w:r>
      <w:bookmarkEnd w:id="135"/>
    </w:p>
    <w:p>
      <w:pPr>
        <w:pStyle w:val="FirstParagraph"/>
      </w:pPr>
      <w:r>
        <w:t xml:space="preserve">No stipulation.</w:t>
      </w:r>
    </w:p>
    <w:p>
      <w:pPr>
        <w:pStyle w:val="Heading3"/>
      </w:pPr>
      <w:bookmarkStart w:id="136" w:name="Xa699353dc1a32293b94caa3b69fa68658417174"/>
      <w:r>
        <w:t xml:space="preserve">4.7.2 Who may request certification of a new public key</w:t>
      </w:r>
      <w:bookmarkEnd w:id="136"/>
    </w:p>
    <w:p>
      <w:pPr>
        <w:pStyle w:val="FirstParagraph"/>
      </w:pPr>
      <w:r>
        <w:t xml:space="preserve">No stipulation.</w:t>
      </w:r>
    </w:p>
    <w:p>
      <w:pPr>
        <w:pStyle w:val="Heading3"/>
      </w:pPr>
      <w:bookmarkStart w:id="137" w:name="X5fd17d9b032e4a13d24718c080e622cb9a1f596"/>
      <w:r>
        <w:t xml:space="preserve">4.7.3 Processing certificate re-keying requests</w:t>
      </w:r>
      <w:bookmarkEnd w:id="137"/>
    </w:p>
    <w:p>
      <w:pPr>
        <w:pStyle w:val="FirstParagraph"/>
      </w:pPr>
      <w:r>
        <w:t xml:space="preserve">No stipulation.</w:t>
      </w:r>
    </w:p>
    <w:p>
      <w:pPr>
        <w:pStyle w:val="Heading3"/>
      </w:pPr>
      <w:bookmarkStart w:id="138" w:name="X46639c4e5a97fcf31220ab34cd2142eef0e1cf0"/>
      <w:r>
        <w:t xml:space="preserve">4.7.4 Notification of new certificate issuance to subscriber</w:t>
      </w:r>
      <w:bookmarkEnd w:id="138"/>
    </w:p>
    <w:p>
      <w:pPr>
        <w:pStyle w:val="FirstParagraph"/>
      </w:pPr>
      <w:r>
        <w:t xml:space="preserve">No stipulation.</w:t>
      </w:r>
    </w:p>
    <w:p>
      <w:pPr>
        <w:pStyle w:val="Heading3"/>
      </w:pPr>
      <w:bookmarkStart w:id="139" w:name="X59a5708edb9f913fb8c237c7b53cb5aac261402"/>
      <w:r>
        <w:t xml:space="preserve">4.7.5 Conduct constituting acceptance of a re-keyed certificate</w:t>
      </w:r>
      <w:bookmarkEnd w:id="139"/>
    </w:p>
    <w:p>
      <w:pPr>
        <w:pStyle w:val="FirstParagraph"/>
      </w:pPr>
      <w:r>
        <w:t xml:space="preserve">No stipulation.</w:t>
      </w:r>
    </w:p>
    <w:p>
      <w:pPr>
        <w:pStyle w:val="Heading3"/>
      </w:pPr>
      <w:bookmarkStart w:id="140" w:name="X18e04e903815acbafdb039a8a510bc03ac12189"/>
      <w:r>
        <w:t xml:space="preserve">4.7.6 Publication of the re-keyed certificate by the CA</w:t>
      </w:r>
      <w:bookmarkEnd w:id="140"/>
    </w:p>
    <w:p>
      <w:pPr>
        <w:pStyle w:val="FirstParagraph"/>
      </w:pPr>
      <w:r>
        <w:t xml:space="preserve">No stipulation.</w:t>
      </w:r>
    </w:p>
    <w:p>
      <w:pPr>
        <w:pStyle w:val="Heading3"/>
      </w:pPr>
      <w:bookmarkStart w:id="141" w:name="X4a28e0f567476485b0f64325ccfd6a9f936f4cf"/>
      <w:r>
        <w:t xml:space="preserve">4.7.7 Notification of certificate issuance by the CA to other entities</w:t>
      </w:r>
      <w:bookmarkEnd w:id="141"/>
    </w:p>
    <w:p>
      <w:pPr>
        <w:pStyle w:val="FirstParagraph"/>
      </w:pPr>
      <w:r>
        <w:t xml:space="preserve">No stipulation.</w:t>
      </w:r>
    </w:p>
    <w:p>
      <w:pPr>
        <w:pStyle w:val="Heading2"/>
      </w:pPr>
      <w:bookmarkStart w:id="142" w:name="certificate-modification"/>
      <w:r>
        <w:t xml:space="preserve">4.8 Certificate modification</w:t>
      </w:r>
      <w:bookmarkEnd w:id="142"/>
    </w:p>
    <w:p>
      <w:pPr>
        <w:pStyle w:val="Heading3"/>
      </w:pPr>
      <w:bookmarkStart w:id="143" w:name="Xe59a0a42f95f06e991228ad06feefd71fc7277a"/>
      <w:r>
        <w:t xml:space="preserve">4.8.1 Circumstance for certificate modification</w:t>
      </w:r>
      <w:bookmarkEnd w:id="143"/>
    </w:p>
    <w:p>
      <w:pPr>
        <w:pStyle w:val="FirstParagraph"/>
      </w:pPr>
      <w:r>
        <w:t xml:space="preserve">No stipulation.</w:t>
      </w:r>
    </w:p>
    <w:p>
      <w:pPr>
        <w:pStyle w:val="Heading3"/>
      </w:pPr>
      <w:bookmarkStart w:id="144" w:name="who-may-request-certificate-modification"/>
      <w:r>
        <w:t xml:space="preserve">4.8.2 Who may request certificate modification</w:t>
      </w:r>
      <w:bookmarkEnd w:id="144"/>
    </w:p>
    <w:p>
      <w:pPr>
        <w:pStyle w:val="FirstParagraph"/>
      </w:pPr>
      <w:r>
        <w:t xml:space="preserve">No stipulation.</w:t>
      </w:r>
    </w:p>
    <w:p>
      <w:pPr>
        <w:pStyle w:val="Heading3"/>
      </w:pPr>
      <w:bookmarkStart w:id="145" w:name="X3aa811f7e916d2004b948f6c430f8d2bd695a83"/>
      <w:r>
        <w:t xml:space="preserve">4.8.3 Processing certificate modification requests</w:t>
      </w:r>
      <w:bookmarkEnd w:id="145"/>
    </w:p>
    <w:p>
      <w:pPr>
        <w:pStyle w:val="FirstParagraph"/>
      </w:pPr>
      <w:r>
        <w:t xml:space="preserve">No stipulation.</w:t>
      </w:r>
    </w:p>
    <w:p>
      <w:pPr>
        <w:pStyle w:val="Heading3"/>
      </w:pPr>
      <w:bookmarkStart w:id="146" w:name="X7f564360f90d79191b6bbe5569bed73deb532f2"/>
      <w:r>
        <w:t xml:space="preserve">4.8.4 Notification of new certificate issuance to subscriber</w:t>
      </w:r>
      <w:bookmarkEnd w:id="146"/>
    </w:p>
    <w:p>
      <w:pPr>
        <w:pStyle w:val="FirstParagraph"/>
      </w:pPr>
      <w:r>
        <w:t xml:space="preserve">No stipulation.</w:t>
      </w:r>
    </w:p>
    <w:p>
      <w:pPr>
        <w:pStyle w:val="Heading3"/>
      </w:pPr>
      <w:bookmarkStart w:id="147" w:name="X72640213b44ffba2de21bc83ddf8835c0a75bf3"/>
      <w:r>
        <w:t xml:space="preserve">4.8.5 Conduct constituting acceptance of modified certificate</w:t>
      </w:r>
      <w:bookmarkEnd w:id="147"/>
    </w:p>
    <w:p>
      <w:pPr>
        <w:pStyle w:val="FirstParagraph"/>
      </w:pPr>
      <w:r>
        <w:t xml:space="preserve">No stipulation.</w:t>
      </w:r>
    </w:p>
    <w:p>
      <w:pPr>
        <w:pStyle w:val="Heading3"/>
      </w:pPr>
      <w:bookmarkStart w:id="148" w:name="X90fd0e49e5e515c12c5287579d3a26c13ec674e"/>
      <w:r>
        <w:t xml:space="preserve">4.8.6 Publication of the modified certificate by the CA</w:t>
      </w:r>
      <w:bookmarkEnd w:id="148"/>
    </w:p>
    <w:p>
      <w:pPr>
        <w:pStyle w:val="FirstParagraph"/>
      </w:pPr>
      <w:r>
        <w:t xml:space="preserve">No stipulation.</w:t>
      </w:r>
    </w:p>
    <w:p>
      <w:pPr>
        <w:pStyle w:val="Heading3"/>
      </w:pPr>
      <w:bookmarkStart w:id="149" w:name="X2585dde8101cce37501783eb45015a05868f66c"/>
      <w:r>
        <w:t xml:space="preserve">4.8.7 Notification of certificate issuance by the CA to other entities</w:t>
      </w:r>
      <w:bookmarkEnd w:id="149"/>
    </w:p>
    <w:p>
      <w:pPr>
        <w:pStyle w:val="FirstParagraph"/>
      </w:pPr>
      <w:r>
        <w:t xml:space="preserve">No stipulation.</w:t>
      </w:r>
    </w:p>
    <w:p>
      <w:pPr>
        <w:pStyle w:val="Heading2"/>
      </w:pPr>
      <w:bookmarkStart w:id="150" w:name="certificate-revocation-and-suspension"/>
      <w:r>
        <w:t xml:space="preserve">4.9 Certificate revocation and suspension</w:t>
      </w:r>
      <w:bookmarkEnd w:id="150"/>
    </w:p>
    <w:p>
      <w:pPr>
        <w:pStyle w:val="Heading3"/>
      </w:pPr>
      <w:bookmarkStart w:id="151" w:name="circumstances-for-revocation"/>
      <w:r>
        <w:t xml:space="preserve">4.9.1 Circumstances for revocation</w:t>
      </w:r>
      <w:bookmarkEnd w:id="151"/>
    </w:p>
    <w:p>
      <w:pPr>
        <w:pStyle w:val="Heading4"/>
      </w:pPr>
      <w:bookmarkStart w:id="152" w:name="X27be66fa0c2b26749d76d931f662cf95686badb"/>
      <w:r>
        <w:t xml:space="preserve">4.9.1.1 Reasons for Revoking a Subscriber Certificate</w:t>
      </w:r>
      <w:bookmarkEnd w:id="152"/>
    </w:p>
    <w:p>
      <w:pPr>
        <w:pStyle w:val="FirstParagraph"/>
      </w:pPr>
      <w:r>
        <w:t xml:space="preserve">The CA SHALL revoke a Certificate within 24 hours if one or more of the following occurs:</w:t>
      </w:r>
    </w:p>
    <w:p>
      <w:pPr>
        <w:numPr>
          <w:ilvl w:val="0"/>
          <w:numId w:val="1011"/>
        </w:numPr>
      </w:pPr>
      <w:r>
        <w:t xml:space="preserve">The Subscriber requests in writing that the CA revoke the Certificate;</w:t>
      </w:r>
    </w:p>
    <w:p>
      <w:pPr>
        <w:numPr>
          <w:ilvl w:val="0"/>
          <w:numId w:val="1011"/>
        </w:numPr>
      </w:pPr>
      <w:r>
        <w:t xml:space="preserve">The Subscriber notifies the CA that the original certificate request was not authorized and does not retroactively grant authorization;</w:t>
      </w:r>
    </w:p>
    <w:p>
      <w:pPr>
        <w:numPr>
          <w:ilvl w:val="0"/>
          <w:numId w:val="1011"/>
        </w:numPr>
      </w:pPr>
      <w:r>
        <w:t xml:space="preserve">The CA obtains evidence that the Subscriber’s Private Key corresponding to the Public Key in the Certificate suffered a Key Compromise;</w:t>
      </w:r>
    </w:p>
    <w:p>
      <w:pPr>
        <w:numPr>
          <w:ilvl w:val="0"/>
          <w:numId w:val="1011"/>
        </w:numPr>
      </w:pPr>
      <w:r>
        <w:t xml:space="preserve">The CA obtains evidence that the validation of domain authorization or control for any Fully-Qualified Domain Name or IP address in the Certificate should not be relied upon.</w:t>
      </w:r>
    </w:p>
    <w:p>
      <w:pPr>
        <w:pStyle w:val="FirstParagraph"/>
      </w:pPr>
      <w:r>
        <w:t xml:space="preserve">The CA SHOULD revoke a certificate within 24 hours and MUST revoke a Certificate within 5 days if one or more of the following occurs:</w:t>
      </w:r>
    </w:p>
    <w:p>
      <w:pPr>
        <w:numPr>
          <w:ilvl w:val="0"/>
          <w:numId w:val="1012"/>
        </w:numPr>
      </w:pPr>
      <w:r>
        <w:t xml:space="preserve">The Certificate no longer complies with the requirements of Sections 6.1.5 and 6.1.6;</w:t>
      </w:r>
    </w:p>
    <w:p>
      <w:pPr>
        <w:numPr>
          <w:ilvl w:val="0"/>
          <w:numId w:val="1012"/>
        </w:numPr>
      </w:pPr>
      <w:r>
        <w:t xml:space="preserve">The CA obtains evidence that the Certificate was misused;</w:t>
      </w:r>
    </w:p>
    <w:p>
      <w:pPr>
        <w:numPr>
          <w:ilvl w:val="0"/>
          <w:numId w:val="1012"/>
        </w:numPr>
      </w:pPr>
      <w:r>
        <w:t xml:space="preserve">The CA is made aware that a Subscriber has violated one or more of its material obligations under the Subscriber Agreement or Terms of Use;</w:t>
      </w:r>
    </w:p>
    <w:p>
      <w:pPr>
        <w:numPr>
          <w:ilvl w:val="0"/>
          <w:numId w:val="1012"/>
        </w:numPr>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pPr>
        <w:numPr>
          <w:ilvl w:val="0"/>
          <w:numId w:val="1012"/>
        </w:numPr>
      </w:pPr>
      <w:r>
        <w:t xml:space="preserve">The CA is made aware that a Wildcard Certificate has been used to authenticate a fraudulently misleading subordinate Fully-Qualified Domain Name;</w:t>
      </w:r>
    </w:p>
    <w:p>
      <w:pPr>
        <w:numPr>
          <w:ilvl w:val="0"/>
          <w:numId w:val="1012"/>
        </w:numPr>
      </w:pPr>
      <w:r>
        <w:t xml:space="preserve">The CA is made aware of a material change in the information contained in the Certificate;</w:t>
      </w:r>
    </w:p>
    <w:p>
      <w:pPr>
        <w:numPr>
          <w:ilvl w:val="0"/>
          <w:numId w:val="1012"/>
        </w:numPr>
      </w:pPr>
      <w:r>
        <w:t xml:space="preserve">The CA is made aware that the Certificate was not issued in accordance with these Requirements or the CA’s Certificate Policy or Certification Practice Statement;</w:t>
      </w:r>
    </w:p>
    <w:p>
      <w:pPr>
        <w:numPr>
          <w:ilvl w:val="0"/>
          <w:numId w:val="1012"/>
        </w:numPr>
      </w:pPr>
      <w:r>
        <w:t xml:space="preserve">The CA determines or is made aware that any of the information appearing in the Certificate is inaccurate;</w:t>
      </w:r>
    </w:p>
    <w:p>
      <w:pPr>
        <w:numPr>
          <w:ilvl w:val="0"/>
          <w:numId w:val="1012"/>
        </w:numPr>
      </w:pPr>
      <w:r>
        <w:t xml:space="preserve">The CA’s right to issue Certificates under these Requirements expires or is revoked or terminated, unless the CA has made arrangements to continue maintaining the CRL/OCSP Repository;</w:t>
      </w:r>
    </w:p>
    <w:p>
      <w:pPr>
        <w:numPr>
          <w:ilvl w:val="0"/>
          <w:numId w:val="1012"/>
        </w:numPr>
      </w:pPr>
      <w:r>
        <w:t xml:space="preserve">Revocation is required by the CA’s Certificate Policy and/or Certification Practice Statement; or</w:t>
      </w:r>
    </w:p>
    <w:p>
      <w:pPr>
        <w:numPr>
          <w:ilvl w:val="0"/>
          <w:numId w:val="1012"/>
        </w:numPr>
      </w:pPr>
      <w:r>
        <w:t xml:space="preserve">The CA is made aware of a demonstrated or proven method that exposes the Subscriber’s Private Key to compromise, methods have been developed that can easily calculate it based on the Public Key (such as a Debian weak key, see http://wiki.debian.org/SSLkeys), or if there is clear evidence that the specific method used to generate the Private Key was flawed.</w:t>
      </w:r>
    </w:p>
    <w:p>
      <w:pPr>
        <w:pStyle w:val="Heading4"/>
      </w:pPr>
      <w:bookmarkStart w:id="153" w:name="Xfcf600faf71afdeb5804cef54ed6ddf0d006b43"/>
      <w:r>
        <w:t xml:space="preserve">4.9.1.2 Reasons for Revoking a Subordinate CA Certificate</w:t>
      </w:r>
      <w:bookmarkEnd w:id="153"/>
    </w:p>
    <w:p>
      <w:pPr>
        <w:pStyle w:val="FirstParagraph"/>
      </w:pPr>
      <w:r>
        <w:t xml:space="preserve">The Issuing CA SHALL revoke a Subordinate CA Certificate within seven (7) days if one or more of the following occurs:</w:t>
      </w:r>
    </w:p>
    <w:p>
      <w:pPr>
        <w:numPr>
          <w:ilvl w:val="0"/>
          <w:numId w:val="1013"/>
        </w:numPr>
      </w:pPr>
      <w:r>
        <w:t xml:space="preserve">The Subordinate CA requests revocation in writing;</w:t>
      </w:r>
    </w:p>
    <w:p>
      <w:pPr>
        <w:numPr>
          <w:ilvl w:val="0"/>
          <w:numId w:val="1013"/>
        </w:numPr>
      </w:pPr>
      <w:r>
        <w:t xml:space="preserve">The Subordinate CA notifies the Issuing CA that the original certificate request was not authorized and does not retroactively grant authorization;</w:t>
      </w:r>
    </w:p>
    <w:p>
      <w:pPr>
        <w:numPr>
          <w:ilvl w:val="0"/>
          <w:numId w:val="1013"/>
        </w:numPr>
      </w:pPr>
      <w:r>
        <w:t xml:space="preserve">The Issuing CA obtains evidence that the Subordinate CA’s Private Key corresponding to the Public Key in the Certificate suffered a Key Compromise or no longer complies with the requirements of Sections 6.1.5 and 6.1.6;</w:t>
      </w:r>
    </w:p>
    <w:p>
      <w:pPr>
        <w:numPr>
          <w:ilvl w:val="0"/>
          <w:numId w:val="1013"/>
        </w:numPr>
      </w:pPr>
      <w:r>
        <w:t xml:space="preserve">The Issuing CA obtains evidence that the Certificate was misused;</w:t>
      </w:r>
    </w:p>
    <w:p>
      <w:pPr>
        <w:numPr>
          <w:ilvl w:val="0"/>
          <w:numId w:val="1013"/>
        </w:numPr>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13"/>
        </w:numPr>
      </w:pPr>
      <w:r>
        <w:t xml:space="preserve">The Issuing CA determines that any of the information appearing in the Certificate is inaccurate or misleading;</w:t>
      </w:r>
    </w:p>
    <w:p>
      <w:pPr>
        <w:numPr>
          <w:ilvl w:val="0"/>
          <w:numId w:val="1013"/>
        </w:numPr>
      </w:pPr>
      <w:r>
        <w:t xml:space="preserve">The Issuing CA or Subordinate CA ceases operations for any reason and has not made arrangements for another CA to provide revocation support for the Certificate;</w:t>
      </w:r>
    </w:p>
    <w:p>
      <w:pPr>
        <w:numPr>
          <w:ilvl w:val="0"/>
          <w:numId w:val="1013"/>
        </w:numPr>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13"/>
        </w:numPr>
      </w:pPr>
      <w:r>
        <w:t xml:space="preserve">Revocation is required by the Issuing CA’s Certificate Policy and/or Certification Practice Statement.</w:t>
      </w:r>
    </w:p>
    <w:p>
      <w:pPr>
        <w:pStyle w:val="Heading3"/>
      </w:pPr>
      <w:bookmarkStart w:id="154" w:name="who-can-request-revocation"/>
      <w:r>
        <w:t xml:space="preserve">4.9.2 Who can request revocation</w:t>
      </w:r>
      <w:bookmarkEnd w:id="154"/>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p>
      <w:pPr>
        <w:pStyle w:val="Heading3"/>
      </w:pPr>
      <w:bookmarkStart w:id="155" w:name="procedure-for-revocation-request"/>
      <w:r>
        <w:t xml:space="preserve">4.9.3 Procedure for revocation request</w:t>
      </w:r>
      <w:bookmarkEnd w:id="155"/>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pPr>
        <w:pStyle w:val="Heading3"/>
      </w:pPr>
      <w:bookmarkStart w:id="156" w:name="revocation-request-grace-period"/>
      <w:r>
        <w:t xml:space="preserve">4.9.4 Revocation request grace period</w:t>
      </w:r>
      <w:bookmarkEnd w:id="156"/>
    </w:p>
    <w:p>
      <w:pPr>
        <w:pStyle w:val="FirstParagraph"/>
      </w:pPr>
      <w:r>
        <w:t xml:space="preserve">No stipulation.</w:t>
      </w:r>
    </w:p>
    <w:p>
      <w:pPr>
        <w:pStyle w:val="Heading3"/>
      </w:pPr>
      <w:bookmarkStart w:id="157" w:name="X00238031186979ff7773497d885abdbdc042870"/>
      <w:r>
        <w:t xml:space="preserve">4.9.5 Time within which CA must process the revocation request</w:t>
      </w:r>
      <w:bookmarkEnd w:id="157"/>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 Section 4.9.1.1. The date selected by the CA SHOULD consider the following criteria:</w:t>
      </w:r>
    </w:p>
    <w:p>
      <w:pPr>
        <w:numPr>
          <w:ilvl w:val="0"/>
          <w:numId w:val="1014"/>
        </w:numPr>
      </w:pPr>
      <w:r>
        <w:t xml:space="preserve">The nature of the alleged problem (scope, context, severity, magnitude, risk of harm);</w:t>
      </w:r>
    </w:p>
    <w:p>
      <w:pPr>
        <w:numPr>
          <w:ilvl w:val="0"/>
          <w:numId w:val="1014"/>
        </w:numPr>
      </w:pPr>
      <w:r>
        <w:t xml:space="preserve">The consequences of revocation (direct and collateral impacts to Subscribers and Relying Parties);</w:t>
      </w:r>
    </w:p>
    <w:p>
      <w:pPr>
        <w:numPr>
          <w:ilvl w:val="0"/>
          <w:numId w:val="1014"/>
        </w:numPr>
      </w:pPr>
      <w:r>
        <w:t xml:space="preserve">The number of Certificate Problem Reports received about a particular Certificate or Subscriber;</w:t>
      </w:r>
    </w:p>
    <w:p>
      <w:pPr>
        <w:numPr>
          <w:ilvl w:val="0"/>
          <w:numId w:val="1014"/>
        </w:numPr>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14"/>
        </w:numPr>
      </w:pPr>
      <w:r>
        <w:t xml:space="preserve">Relevant legislation.</w:t>
      </w:r>
    </w:p>
    <w:p>
      <w:pPr>
        <w:pStyle w:val="Heading3"/>
      </w:pPr>
      <w:bookmarkStart w:id="158" w:name="X7d03556285fb06bac42e134f22c5b8cc536ae24"/>
      <w:r>
        <w:t xml:space="preserve">4.9.6 Revocation checking requirement for relying parties</w:t>
      </w:r>
      <w:bookmarkEnd w:id="158"/>
    </w:p>
    <w:p>
      <w:pPr>
        <w:pStyle w:val="FirstParagraph"/>
      </w:pPr>
      <w:r>
        <w:t xml:space="preserve">No stipulation.</w:t>
      </w:r>
    </w:p>
    <w:p>
      <w:pPr>
        <w:pStyle w:val="BodyText"/>
      </w:pPr>
      <w:r>
        <w:rPr>
          <w:b/>
        </w:rPr>
        <w:t xml:space="preserve">Note:</w:t>
      </w:r>
      <w:r>
        <w:t xml:space="preserve"> </w:t>
      </w:r>
      <w:r>
        <w:t xml:space="preserve">Following certificate issuance, a certificate may be revoked for reasons stated in Section 4.9.1. Therefore, relying parties should check the revocation status of all certificates that contain a CDP or OCSP pointer.</w:t>
      </w:r>
    </w:p>
    <w:p>
      <w:pPr>
        <w:pStyle w:val="Heading3"/>
      </w:pPr>
      <w:bookmarkStart w:id="159" w:name="crl-issuance-frequency-if-applicable"/>
      <w:r>
        <w:t xml:space="preserve">4.9.7 CRL issuance frequency (if applicable)</w:t>
      </w:r>
      <w:bookmarkEnd w:id="159"/>
    </w:p>
    <w:p>
      <w:pPr>
        <w:pStyle w:val="FirstParagraph"/>
      </w:pPr>
      <w:r>
        <w:t xml:space="preserve">For the status of Subscriber Certificates:</w:t>
      </w:r>
    </w:p>
    <w:p>
      <w:pPr>
        <w:pStyle w:val="BodyText"/>
      </w:pPr>
      <w:r>
        <w:t xml:space="preserve">If the CA publishes a CRL, then the CA SHALL update and reissue CRLs at least once every seven days, and the value of the nextUpdate field MUST NOT be more than ten days beyond the value of the thisUpdate field.</w:t>
      </w:r>
    </w:p>
    <w:p>
      <w:pPr>
        <w:pStyle w:val="BodyText"/>
      </w:pPr>
      <w:r>
        <w:t xml:space="preserve">For the status of Subordinate CA Certificates:</w:t>
      </w:r>
    </w:p>
    <w:p>
      <w:pPr>
        <w:pStyle w:val="BodyText"/>
      </w:pPr>
      <w:r>
        <w:t xml:space="preserve">The CA SHALL update and reissue CRLs at least (i) once every twelve months and (ii) within 24 hours after revoking a Subordinate CA Certificate, and the value of the nextUpdate field MUST NOT be more than twelve months beyond the value of the thisUpdate field.</w:t>
      </w:r>
    </w:p>
    <w:p>
      <w:pPr>
        <w:pStyle w:val="Heading3"/>
      </w:pPr>
      <w:bookmarkStart w:id="160" w:name="maximum-latency-for-crls-if-applicable"/>
      <w:r>
        <w:t xml:space="preserve">4.9.8 Maximum latency for CRLs (if applicable)</w:t>
      </w:r>
      <w:bookmarkEnd w:id="160"/>
    </w:p>
    <w:p>
      <w:pPr>
        <w:pStyle w:val="FirstParagraph"/>
      </w:pPr>
      <w:r>
        <w:t xml:space="preserve">No stipulation.</w:t>
      </w:r>
    </w:p>
    <w:p>
      <w:pPr>
        <w:pStyle w:val="Heading3"/>
      </w:pPr>
      <w:bookmarkStart w:id="161" w:name="Xee28e6e2d586e3802b08fdaf2cb4b5c4ec0ac9f"/>
      <w:r>
        <w:t xml:space="preserve">4.9.9 On-line revocation/status checking availability</w:t>
      </w:r>
      <w:bookmarkEnd w:id="161"/>
    </w:p>
    <w:p>
      <w:pPr>
        <w:pStyle w:val="FirstParagraph"/>
      </w:pPr>
      <w:r>
        <w:t xml:space="preserve">OCSP responses MUST conform to RFC6960 and/or RFC5019. OCSP responses MUST either:</w:t>
      </w:r>
    </w:p>
    <w:p>
      <w:pPr>
        <w:numPr>
          <w:ilvl w:val="0"/>
          <w:numId w:val="1015"/>
        </w:numPr>
      </w:pPr>
      <w:r>
        <w:t xml:space="preserve">Be signed by the CA that issued the Certificates whose revocation status is being checked, or</w:t>
      </w:r>
    </w:p>
    <w:p>
      <w:pPr>
        <w:numPr>
          <w:ilvl w:val="0"/>
          <w:numId w:val="1015"/>
        </w:numPr>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 id-pkix-ocsp-nocheck, as</w:t>
      </w:r>
      <w:r>
        <w:t xml:space="preserve"> </w:t>
      </w:r>
      <w:r>
        <w:t xml:space="preserve">defined by RFC6960.</w:t>
      </w:r>
    </w:p>
    <w:p>
      <w:pPr>
        <w:pStyle w:val="Heading3"/>
      </w:pPr>
      <w:bookmarkStart w:id="162" w:name="on-line-revocation-checking-requirements"/>
      <w:r>
        <w:t xml:space="preserve">4.9.10 On-line revocation checking requirements</w:t>
      </w:r>
      <w:bookmarkEnd w:id="162"/>
    </w:p>
    <w:p>
      <w:pPr>
        <w:pStyle w:val="FirstParagraph"/>
      </w:pPr>
      <w:r>
        <w:t xml:space="preserve">OCSP responders operated by the CA SHALL support the HTTP GET method, as described in RFC 6960 and/or RFC 5019.</w:t>
      </w:r>
    </w:p>
    <w:p>
      <w:pPr>
        <w:pStyle w:val="BodyText"/>
      </w:pPr>
      <w:r>
        <w:t xml:space="preserve">For the status of Subscriber Certificates:</w:t>
      </w:r>
    </w:p>
    <w:p>
      <w:pPr>
        <w:numPr>
          <w:ilvl w:val="0"/>
          <w:numId w:val="1016"/>
        </w:numPr>
      </w:pPr>
      <w:r>
        <w:t xml:space="preserve">The CA SHALL update information provided via an Online Certificate Status Protocol at least every four days. OCSP responses from this service MUST have a maximum expiration time of ten days.</w:t>
      </w:r>
    </w:p>
    <w:p>
      <w:pPr>
        <w:pStyle w:val="FirstParagraph"/>
      </w:pPr>
      <w:r>
        <w:t xml:space="preserve">For the status of Subordinate CA Certificates:</w:t>
      </w:r>
      <w:r>
        <w:t xml:space="preserve"> </w:t>
      </w:r>
      <w:r>
        <w:t xml:space="preserve">* The CA SHALL update information provided via an Online Certificate Status Protocol (i) at least every twelve months; and (ii) within 24 hours after revoking a Subordinate CA Certificate.</w:t>
      </w:r>
    </w:p>
    <w:p>
      <w:pPr>
        <w:pStyle w:val="BodyText"/>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 Section 7.1.5,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CA SHOULD monitor the OCSP responder for requests for</w:t>
      </w:r>
      <w:r>
        <w:t xml:space="preserve"> </w:t>
      </w:r>
      <w:r>
        <w:t xml:space="preserve">“</w:t>
      </w:r>
      <w:r>
        <w:t xml:space="preserve">unused</w:t>
      </w:r>
      <w:r>
        <w:t xml:space="preserve">”</w:t>
      </w:r>
      <w:r>
        <w:t xml:space="preserve"> </w:t>
      </w:r>
      <w:r>
        <w:t xml:space="preserve">serial numbers as part of its security response procedures.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17"/>
        </w:numPr>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17"/>
        </w:numPr>
      </w:pPr>
      <w:r>
        <w:t xml:space="preserve">“</w:t>
      </w:r>
      <w:r>
        <w:t xml:space="preserve">reserved</w:t>
      </w:r>
      <w:r>
        <w:t xml:space="preserve">”</w:t>
      </w:r>
      <w:r>
        <w:t xml:space="preserve"> </w:t>
      </w:r>
      <w:r>
        <w:t xml:space="preserve">if a Precertificate [RFC6962] with that serial number has been issued by (a) the Issuing CA; or (b) a Precertificate Signing Certificate [RFC6962] associated with the Issuing CA; or</w:t>
      </w:r>
    </w:p>
    <w:p>
      <w:pPr>
        <w:numPr>
          <w:ilvl w:val="0"/>
          <w:numId w:val="1017"/>
        </w:numPr>
      </w:pPr>
      <w:r>
        <w:t xml:space="preserve">“</w:t>
      </w:r>
      <w:r>
        <w:t xml:space="preserve">unused</w:t>
      </w:r>
      <w:r>
        <w:t xml:space="preserve">”</w:t>
      </w:r>
      <w:r>
        <w:t xml:space="preserve"> </w:t>
      </w:r>
      <w:r>
        <w:t xml:space="preserve">if neither of the previous conditions are met.</w:t>
      </w:r>
    </w:p>
    <w:p>
      <w:pPr>
        <w:pStyle w:val="Heading3"/>
      </w:pPr>
      <w:bookmarkStart w:id="163" w:name="Xa3b17839b9b7d2fc70bd1a258be90b41d21908b"/>
      <w:r>
        <w:t xml:space="preserve">4.9.11 Other forms of revocation advertisements available</w:t>
      </w:r>
      <w:bookmarkEnd w:id="163"/>
    </w:p>
    <w:p>
      <w:pPr>
        <w:pStyle w:val="FirstParagraph"/>
      </w:pPr>
      <w:r>
        <w:t xml:space="preserve">If the Subscriber Certificate is for a high-traffic FQDN, the CA MAY rely on stapling, in accordance with</w:t>
      </w:r>
      <w:r>
        <w:t xml:space="preserve"> </w:t>
      </w:r>
      <w:hyperlink r:id="rId164">
        <w:r>
          <w:rPr>
            <w:rStyle w:val="Hyperlink"/>
          </w:rPr>
          <w:t xml:space="preserve">RFC4366</w:t>
        </w:r>
      </w:hyperlink>
      <w:r>
        <w:t xml:space="preserve">, to distribute its OCSP responses. In this case, the CA SHALL ensure that the Subscriber</w:t>
      </w:r>
      <w:r>
        <w:t xml:space="preserve"> </w:t>
      </w:r>
      <w:r>
        <w:t xml:space="preserve">“</w:t>
      </w:r>
      <w:r>
        <w:t xml:space="preserve">staples</w:t>
      </w:r>
      <w:r>
        <w:t xml:space="preserve">”</w:t>
      </w:r>
      <w:r>
        <w:t xml:space="preserve"> </w:t>
      </w:r>
      <w:r>
        <w:t xml:space="preserve">the OCSP response for the Certificate in its TLS handshake. The CA SHALL enforce this requirement on the Subscriber either contractually, through the Subscriber Agreement or Terms of Use, or by technical review measures implemented by the CA.</w:t>
      </w:r>
    </w:p>
    <w:p>
      <w:pPr>
        <w:pStyle w:val="Heading3"/>
      </w:pPr>
      <w:bookmarkStart w:id="165" w:name="special-requirements-re-key-compromise"/>
      <w:r>
        <w:t xml:space="preserve">4.9.12 Special requirements re key compromise</w:t>
      </w:r>
      <w:bookmarkEnd w:id="165"/>
    </w:p>
    <w:p>
      <w:pPr>
        <w:pStyle w:val="FirstParagraph"/>
      </w:pPr>
      <w:r>
        <w:t xml:space="preserve">See Section 4.9.1.</w:t>
      </w:r>
    </w:p>
    <w:p>
      <w:pPr>
        <w:pStyle w:val="Heading3"/>
      </w:pPr>
      <w:bookmarkStart w:id="166" w:name="circumstances-for-suspension"/>
      <w:r>
        <w:t xml:space="preserve">4.9.13 Circumstances for suspension</w:t>
      </w:r>
      <w:bookmarkEnd w:id="166"/>
    </w:p>
    <w:p>
      <w:pPr>
        <w:pStyle w:val="FirstParagraph"/>
      </w:pPr>
      <w:r>
        <w:t xml:space="preserve">The Repository MUST NOT include entries that indicate that a Certificate is suspended.</w:t>
      </w:r>
    </w:p>
    <w:p>
      <w:pPr>
        <w:pStyle w:val="Heading3"/>
      </w:pPr>
      <w:bookmarkStart w:id="167" w:name="who-can-request-suspension"/>
      <w:r>
        <w:t xml:space="preserve">4.9.14 Who can request suspension</w:t>
      </w:r>
      <w:bookmarkEnd w:id="167"/>
    </w:p>
    <w:p>
      <w:pPr>
        <w:pStyle w:val="FirstParagraph"/>
      </w:pPr>
      <w:r>
        <w:t xml:space="preserve">Not applicable.</w:t>
      </w:r>
    </w:p>
    <w:p>
      <w:pPr>
        <w:pStyle w:val="Heading3"/>
      </w:pPr>
      <w:bookmarkStart w:id="168" w:name="procedure-for-suspension-request"/>
      <w:r>
        <w:t xml:space="preserve">4.9.15 Procedure for suspension request</w:t>
      </w:r>
      <w:bookmarkEnd w:id="168"/>
    </w:p>
    <w:p>
      <w:pPr>
        <w:pStyle w:val="FirstParagraph"/>
      </w:pPr>
      <w:r>
        <w:t xml:space="preserve">Not applicable.</w:t>
      </w:r>
    </w:p>
    <w:p>
      <w:pPr>
        <w:pStyle w:val="Heading3"/>
      </w:pPr>
      <w:bookmarkStart w:id="169" w:name="limits-on-suspension-period"/>
      <w:r>
        <w:t xml:space="preserve">4.9.16 Limits on suspension period</w:t>
      </w:r>
      <w:bookmarkEnd w:id="169"/>
    </w:p>
    <w:p>
      <w:pPr>
        <w:pStyle w:val="FirstParagraph"/>
      </w:pPr>
      <w:r>
        <w:t xml:space="preserve">Not applicable.</w:t>
      </w:r>
    </w:p>
    <w:p>
      <w:pPr>
        <w:pStyle w:val="Heading2"/>
      </w:pPr>
      <w:bookmarkStart w:id="170" w:name="certificate-status-services"/>
      <w:r>
        <w:t xml:space="preserve">4.10 Certificate status services</w:t>
      </w:r>
      <w:bookmarkEnd w:id="170"/>
    </w:p>
    <w:p>
      <w:pPr>
        <w:pStyle w:val="Heading3"/>
      </w:pPr>
      <w:bookmarkStart w:id="171" w:name="operational-characteristics"/>
      <w:r>
        <w:t xml:space="preserve">4.10.1 Operational characteristics</w:t>
      </w:r>
      <w:bookmarkEnd w:id="171"/>
    </w:p>
    <w:p>
      <w:pPr>
        <w:pStyle w:val="FirstParagraph"/>
      </w:pPr>
      <w:r>
        <w:t xml:space="preserve">Revocation entries on a CRL or OCSP Response MUST NOT be removed until after the Expiry Date of the revoked</w:t>
      </w:r>
      <w:r>
        <w:t xml:space="preserve"> </w:t>
      </w:r>
      <w:r>
        <w:t xml:space="preserve">Certificate</w:t>
      </w:r>
    </w:p>
    <w:p>
      <w:pPr>
        <w:pStyle w:val="Heading3"/>
      </w:pPr>
      <w:bookmarkStart w:id="172" w:name="service-availability"/>
      <w:r>
        <w:t xml:space="preserve">4.10.2 Service availability</w:t>
      </w:r>
      <w:bookmarkEnd w:id="172"/>
    </w:p>
    <w:p>
      <w:pPr>
        <w:pStyle w:val="FirstParagraph"/>
      </w:pPr>
      <w:r>
        <w:t xml:space="preserve">The CA SHALL operate and maintain its CRL and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p>
      <w:pPr>
        <w:pStyle w:val="Heading3"/>
      </w:pPr>
      <w:bookmarkStart w:id="173" w:name="optional-features"/>
      <w:r>
        <w:t xml:space="preserve">4.10.3 Optional features</w:t>
      </w:r>
      <w:bookmarkEnd w:id="173"/>
    </w:p>
    <w:p>
      <w:pPr>
        <w:pStyle w:val="FirstParagraph"/>
      </w:pPr>
      <w:r>
        <w:t xml:space="preserve">No stipulation.</w:t>
      </w:r>
    </w:p>
    <w:p>
      <w:pPr>
        <w:pStyle w:val="Heading2"/>
      </w:pPr>
      <w:bookmarkStart w:id="174" w:name="end-of-subscription"/>
      <w:r>
        <w:t xml:space="preserve">4.11 End of subscription</w:t>
      </w:r>
      <w:bookmarkEnd w:id="174"/>
    </w:p>
    <w:p>
      <w:pPr>
        <w:pStyle w:val="FirstParagraph"/>
      </w:pPr>
      <w:r>
        <w:t xml:space="preserve">No stipulation.</w:t>
      </w:r>
    </w:p>
    <w:p>
      <w:pPr>
        <w:pStyle w:val="Heading2"/>
      </w:pPr>
      <w:bookmarkStart w:id="175" w:name="key-escrow-and-recovery"/>
      <w:r>
        <w:t xml:space="preserve">4.12 Key escrow and recovery</w:t>
      </w:r>
      <w:bookmarkEnd w:id="175"/>
    </w:p>
    <w:p>
      <w:pPr>
        <w:pStyle w:val="Heading3"/>
      </w:pPr>
      <w:bookmarkStart w:id="176" w:name="X267a0975de46c37ce7f65fbf8694410e53d8add"/>
      <w:r>
        <w:t xml:space="preserve">4.12.1 Key escrow and recovery policy and practices</w:t>
      </w:r>
      <w:bookmarkEnd w:id="176"/>
    </w:p>
    <w:p>
      <w:pPr>
        <w:pStyle w:val="FirstParagraph"/>
      </w:pPr>
      <w:r>
        <w:t xml:space="preserve">No stipulation.</w:t>
      </w:r>
    </w:p>
    <w:p>
      <w:pPr>
        <w:pStyle w:val="Heading3"/>
      </w:pPr>
      <w:bookmarkStart w:id="177" w:name="Xedff23872069961cdcd20c6843c72c4e86b98af"/>
      <w:r>
        <w:t xml:space="preserve">4.12.2 Session key encapsulation and recovery policy and practices</w:t>
      </w:r>
      <w:bookmarkEnd w:id="177"/>
    </w:p>
    <w:p>
      <w:pPr>
        <w:pStyle w:val="FirstParagraph"/>
      </w:pPr>
      <w:r>
        <w:t xml:space="preserve">Not applicable.</w:t>
      </w:r>
    </w:p>
    <w:p>
      <w:pPr>
        <w:pStyle w:val="Heading1"/>
      </w:pPr>
      <w:bookmarkStart w:id="178" w:name="X9484d4093378d830ad301fd974d9c4535fa909d"/>
      <w:r>
        <w:t xml:space="preserve">5. MANAGEMENT, OPERATIONAL, AND PHYSICAL CONTROLS</w:t>
      </w:r>
      <w:bookmarkEnd w:id="178"/>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18"/>
        </w:numPr>
      </w:pPr>
      <w:r>
        <w:t xml:space="preserve">Protect the confidentiality, integrity, and availability of Certificate Data and Certificate Management Processes;</w:t>
      </w:r>
    </w:p>
    <w:p>
      <w:pPr>
        <w:numPr>
          <w:ilvl w:val="0"/>
          <w:numId w:val="1018"/>
        </w:numPr>
      </w:pPr>
      <w:r>
        <w:t xml:space="preserve">Protect against anticipated threats or hazards to the confidentiality, integrity, and availability of the Certificate Data and Certificate Management Processes;</w:t>
      </w:r>
    </w:p>
    <w:p>
      <w:pPr>
        <w:numPr>
          <w:ilvl w:val="0"/>
          <w:numId w:val="1018"/>
        </w:numPr>
      </w:pPr>
      <w:r>
        <w:t xml:space="preserve">Protect against unauthorized or unlawful access, use, disclosure, alteration, or destruction of any Certificate Data or Certificate Management Processes;</w:t>
      </w:r>
    </w:p>
    <w:p>
      <w:pPr>
        <w:numPr>
          <w:ilvl w:val="0"/>
          <w:numId w:val="1018"/>
        </w:numPr>
      </w:pPr>
      <w:r>
        <w:t xml:space="preserve">Protect against accidental loss or destruction of, or damage to, any Certificate Data or Certificate Management Processes; and</w:t>
      </w:r>
    </w:p>
    <w:p>
      <w:pPr>
        <w:numPr>
          <w:ilvl w:val="0"/>
          <w:numId w:val="1018"/>
        </w:numPr>
      </w:pPr>
      <w:r>
        <w:t xml:space="preserve">Comply with all other security requirements applicable to the CA by law.</w:t>
      </w:r>
    </w:p>
    <w:p>
      <w:pPr>
        <w:pStyle w:val="FirstParagraph"/>
      </w:pPr>
      <w:r>
        <w:t xml:space="preserve">The Certificate Management Process MUST include:</w:t>
      </w:r>
    </w:p>
    <w:p>
      <w:pPr>
        <w:numPr>
          <w:ilvl w:val="0"/>
          <w:numId w:val="1019"/>
        </w:numPr>
      </w:pPr>
      <w:r>
        <w:t xml:space="preserve">physical security and environmental controls;</w:t>
      </w:r>
    </w:p>
    <w:p>
      <w:pPr>
        <w:numPr>
          <w:ilvl w:val="0"/>
          <w:numId w:val="1019"/>
        </w:numPr>
      </w:pPr>
      <w:r>
        <w:t xml:space="preserve">system integrity controls, including configuration management, integrity maintenance of trusted code, and malware detection/prevention;</w:t>
      </w:r>
    </w:p>
    <w:p>
      <w:pPr>
        <w:numPr>
          <w:ilvl w:val="0"/>
          <w:numId w:val="1019"/>
        </w:numPr>
      </w:pPr>
      <w:r>
        <w:t xml:space="preserve">network security and firewall management, including port restrictions and IP address filtering;</w:t>
      </w:r>
    </w:p>
    <w:p>
      <w:pPr>
        <w:numPr>
          <w:ilvl w:val="0"/>
          <w:numId w:val="1019"/>
        </w:numPr>
      </w:pPr>
      <w:r>
        <w:t xml:space="preserve">user management, separate trusted-role assignments, education, awareness, and training; and</w:t>
      </w:r>
    </w:p>
    <w:p>
      <w:pPr>
        <w:numPr>
          <w:ilvl w:val="0"/>
          <w:numId w:val="1019"/>
        </w:numPr>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20"/>
        </w:numPr>
      </w:pPr>
      <w:r>
        <w:t xml:space="preserve">Identifies foreseeable internal and external threats that could result in unauthorized access, disclosure, misuse, alteration, or destruction of any Certificate Data or Certificate Management Processes;</w:t>
      </w:r>
    </w:p>
    <w:p>
      <w:pPr>
        <w:numPr>
          <w:ilvl w:val="0"/>
          <w:numId w:val="1020"/>
        </w:numPr>
      </w:pPr>
      <w:r>
        <w:t xml:space="preserve">Assesses the likelihood and potential damage of these threats, taking into consideration the sensitivity of the Certificate Data and Certificate Management Processes; and</w:t>
      </w:r>
    </w:p>
    <w:p>
      <w:pPr>
        <w:numPr>
          <w:ilvl w:val="0"/>
          <w:numId w:val="1020"/>
        </w:numPr>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pPr>
        <w:pStyle w:val="Heading2"/>
      </w:pPr>
      <w:bookmarkStart w:id="179" w:name="physical-security-controls"/>
      <w:r>
        <w:t xml:space="preserve">5.1 PHYSICAL SECURITY CONTROLS</w:t>
      </w:r>
      <w:bookmarkEnd w:id="179"/>
    </w:p>
    <w:p>
      <w:pPr>
        <w:pStyle w:val="Heading3"/>
      </w:pPr>
      <w:bookmarkStart w:id="180" w:name="site-location-and-construction"/>
      <w:r>
        <w:t xml:space="preserve">5.1.1 Site location and construction</w:t>
      </w:r>
      <w:bookmarkEnd w:id="180"/>
    </w:p>
    <w:p>
      <w:pPr>
        <w:pStyle w:val="Heading3"/>
      </w:pPr>
      <w:bookmarkStart w:id="181" w:name="physical-access"/>
      <w:r>
        <w:t xml:space="preserve">5.1.2 Physical access</w:t>
      </w:r>
      <w:bookmarkEnd w:id="181"/>
    </w:p>
    <w:p>
      <w:pPr>
        <w:pStyle w:val="Heading3"/>
      </w:pPr>
      <w:bookmarkStart w:id="182" w:name="power-and-air-conditioning"/>
      <w:r>
        <w:t xml:space="preserve">5.1.3 Power and air conditioning</w:t>
      </w:r>
      <w:bookmarkEnd w:id="182"/>
    </w:p>
    <w:p>
      <w:pPr>
        <w:pStyle w:val="Heading3"/>
      </w:pPr>
      <w:bookmarkStart w:id="183" w:name="water-exposures"/>
      <w:r>
        <w:t xml:space="preserve">5.1.4 Water exposures</w:t>
      </w:r>
      <w:bookmarkEnd w:id="183"/>
    </w:p>
    <w:p>
      <w:pPr>
        <w:pStyle w:val="Heading3"/>
      </w:pPr>
      <w:bookmarkStart w:id="184" w:name="fire-prevention-and-protection"/>
      <w:r>
        <w:t xml:space="preserve">5.1.5 Fire prevention and protection</w:t>
      </w:r>
      <w:bookmarkEnd w:id="184"/>
    </w:p>
    <w:p>
      <w:pPr>
        <w:pStyle w:val="Heading3"/>
      </w:pPr>
      <w:bookmarkStart w:id="185" w:name="media-storage"/>
      <w:r>
        <w:t xml:space="preserve">5.1.6 Media storage</w:t>
      </w:r>
      <w:bookmarkEnd w:id="185"/>
    </w:p>
    <w:p>
      <w:pPr>
        <w:pStyle w:val="Heading3"/>
      </w:pPr>
      <w:bookmarkStart w:id="186" w:name="waste-disposal"/>
      <w:r>
        <w:t xml:space="preserve">5.1.7 Waste disposal</w:t>
      </w:r>
      <w:bookmarkEnd w:id="186"/>
    </w:p>
    <w:p>
      <w:pPr>
        <w:pStyle w:val="Heading3"/>
      </w:pPr>
      <w:bookmarkStart w:id="187" w:name="off-site-backup"/>
      <w:r>
        <w:t xml:space="preserve">5.1.8 Off-site backup</w:t>
      </w:r>
      <w:bookmarkEnd w:id="187"/>
    </w:p>
    <w:p>
      <w:pPr>
        <w:pStyle w:val="Heading2"/>
      </w:pPr>
      <w:bookmarkStart w:id="188" w:name="procedural-controls"/>
      <w:r>
        <w:t xml:space="preserve">5.2 Procedural controls</w:t>
      </w:r>
      <w:bookmarkEnd w:id="188"/>
    </w:p>
    <w:p>
      <w:pPr>
        <w:pStyle w:val="Heading3"/>
      </w:pPr>
      <w:bookmarkStart w:id="189" w:name="trusted-roles"/>
      <w:r>
        <w:t xml:space="preserve">5.2.1 Trusted roles</w:t>
      </w:r>
      <w:bookmarkEnd w:id="189"/>
    </w:p>
    <w:p>
      <w:pPr>
        <w:pStyle w:val="Heading3"/>
      </w:pPr>
      <w:bookmarkStart w:id="190" w:name="number-of-individuals-required-per-task"/>
      <w:r>
        <w:t xml:space="preserve">5.2.2 Number of Individuals Required per Task</w:t>
      </w:r>
      <w:bookmarkEnd w:id="190"/>
    </w:p>
    <w:p>
      <w:pPr>
        <w:pStyle w:val="FirstParagraph"/>
      </w:pPr>
      <w:r>
        <w:t xml:space="preserve">The CA Private Key SHALL be backed up, stored, and recovered only by personnel in trusted roles using, at least, dual control in a physically secured environment.</w:t>
      </w:r>
    </w:p>
    <w:p>
      <w:pPr>
        <w:pStyle w:val="Heading3"/>
      </w:pPr>
      <w:bookmarkStart w:id="191" w:name="Xacd469b5ffe4060bff6f8ef441a42d0c5edddb9"/>
      <w:r>
        <w:t xml:space="preserve">5.2.3 Identification and authentication for each role</w:t>
      </w:r>
      <w:bookmarkEnd w:id="191"/>
    </w:p>
    <w:p>
      <w:pPr>
        <w:pStyle w:val="Heading3"/>
      </w:pPr>
      <w:bookmarkStart w:id="192" w:name="roles-requiring-separation-of-duties"/>
      <w:r>
        <w:t xml:space="preserve">5.2.4 Roles requiring separation of duties</w:t>
      </w:r>
      <w:bookmarkEnd w:id="192"/>
    </w:p>
    <w:p>
      <w:pPr>
        <w:pStyle w:val="Heading2"/>
      </w:pPr>
      <w:bookmarkStart w:id="193" w:name="personnel-controls"/>
      <w:r>
        <w:t xml:space="preserve">5.3 Personnel controls</w:t>
      </w:r>
      <w:bookmarkEnd w:id="193"/>
    </w:p>
    <w:p>
      <w:pPr>
        <w:pStyle w:val="Heading3"/>
      </w:pPr>
      <w:bookmarkStart w:id="194" w:name="X52d99d9bce5cd0fefee7b67ecf4b39b704e85d4"/>
      <w:r>
        <w:t xml:space="preserve">5.3.1 Qualifications, experience, and clearance requirements</w:t>
      </w:r>
      <w:bookmarkEnd w:id="194"/>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p>
      <w:pPr>
        <w:pStyle w:val="Heading3"/>
      </w:pPr>
      <w:bookmarkStart w:id="195" w:name="background-check-procedures"/>
      <w:r>
        <w:t xml:space="preserve">5.3.2 Background check procedures</w:t>
      </w:r>
      <w:bookmarkEnd w:id="195"/>
    </w:p>
    <w:p>
      <w:pPr>
        <w:pStyle w:val="Heading3"/>
      </w:pPr>
      <w:bookmarkStart w:id="196" w:name="training-requirements-and-procedures"/>
      <w:r>
        <w:t xml:space="preserve">5.3.3 Training Requirements and Procedures</w:t>
      </w:r>
      <w:bookmarkEnd w:id="196"/>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p>
      <w:pPr>
        <w:pStyle w:val="Heading3"/>
      </w:pPr>
      <w:bookmarkStart w:id="197" w:name="retraining-frequency-and-requirements"/>
      <w:r>
        <w:t xml:space="preserve">5.3.4 Retraining frequency and requirements</w:t>
      </w:r>
      <w:bookmarkEnd w:id="197"/>
    </w:p>
    <w:p>
      <w:pPr>
        <w:pStyle w:val="FirstParagraph"/>
      </w:pPr>
      <w:r>
        <w:t xml:space="preserve">All personnel in Trusted roles SHALL maintain skill levels consistent with the CA’s training and performance programs.</w:t>
      </w:r>
    </w:p>
    <w:p>
      <w:pPr>
        <w:pStyle w:val="Heading3"/>
      </w:pPr>
      <w:bookmarkStart w:id="198" w:name="job-rotation-frequency-and-sequence"/>
      <w:r>
        <w:t xml:space="preserve">5.3.5 Job rotation frequency and sequence</w:t>
      </w:r>
      <w:bookmarkEnd w:id="198"/>
    </w:p>
    <w:p>
      <w:pPr>
        <w:pStyle w:val="Heading3"/>
      </w:pPr>
      <w:bookmarkStart w:id="199" w:name="sanctions-for-unauthorized-actions"/>
      <w:r>
        <w:t xml:space="preserve">5.3.6 Sanctions for unauthorized actions</w:t>
      </w:r>
      <w:bookmarkEnd w:id="199"/>
    </w:p>
    <w:p>
      <w:pPr>
        <w:pStyle w:val="Heading3"/>
      </w:pPr>
      <w:bookmarkStart w:id="200" w:name="independent-contractor-controls"/>
      <w:r>
        <w:t xml:space="preserve">5.3.7 Independent Contractor Controls</w:t>
      </w:r>
      <w:bookmarkEnd w:id="200"/>
    </w:p>
    <w:p>
      <w:pPr>
        <w:pStyle w:val="FirstParagraph"/>
      </w:pPr>
      <w:r>
        <w:t xml:space="preserve">The CA SHALL verify that the Delegated Third Party’s personnel involved in the issuance of a Certificate meet the training and skills requirements of Section 5.3.3 and the document retention and event logging requirements of Section 5.4.1.</w:t>
      </w:r>
    </w:p>
    <w:p>
      <w:pPr>
        <w:pStyle w:val="Heading3"/>
      </w:pPr>
      <w:bookmarkStart w:id="201" w:name="documentation-supplied-to-personnel"/>
      <w:r>
        <w:t xml:space="preserve">5.3.8 Documentation supplied to personnel</w:t>
      </w:r>
      <w:bookmarkEnd w:id="201"/>
    </w:p>
    <w:p>
      <w:pPr>
        <w:pStyle w:val="Heading2"/>
      </w:pPr>
      <w:bookmarkStart w:id="202" w:name="audit-logging-procedures"/>
      <w:r>
        <w:t xml:space="preserve">5.4 Audit logging procedures</w:t>
      </w:r>
      <w:bookmarkEnd w:id="202"/>
    </w:p>
    <w:p>
      <w:pPr>
        <w:pStyle w:val="Heading3"/>
      </w:pPr>
      <w:bookmarkStart w:id="203" w:name="types-of-events-recorded"/>
      <w:r>
        <w:t xml:space="preserve">5.4.1 Types of events recorded</w:t>
      </w:r>
      <w:bookmarkEnd w:id="203"/>
    </w:p>
    <w:p>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21"/>
        </w:numPr>
      </w:pPr>
      <w:r>
        <w:t xml:space="preserve">CA key lifecycle management events, including:</w:t>
      </w:r>
    </w:p>
    <w:p>
      <w:pPr>
        <w:numPr>
          <w:ilvl w:val="1"/>
          <w:numId w:val="1022"/>
        </w:numPr>
      </w:pPr>
      <w:r>
        <w:t xml:space="preserve">Key generation, backup, storage, recovery, archival, and destruction; and</w:t>
      </w:r>
    </w:p>
    <w:p>
      <w:pPr>
        <w:numPr>
          <w:ilvl w:val="1"/>
          <w:numId w:val="1022"/>
        </w:numPr>
      </w:pPr>
      <w:r>
        <w:t xml:space="preserve">Cryptographic device lifecycle management events.</w:t>
      </w:r>
    </w:p>
    <w:p>
      <w:pPr>
        <w:numPr>
          <w:ilvl w:val="0"/>
          <w:numId w:val="1021"/>
        </w:numPr>
      </w:pPr>
      <w:r>
        <w:t xml:space="preserve">CA and Subscriber Certificate lifecycle management events, including:</w:t>
      </w:r>
    </w:p>
    <w:p>
      <w:pPr>
        <w:numPr>
          <w:ilvl w:val="1"/>
          <w:numId w:val="1023"/>
        </w:numPr>
      </w:pPr>
      <w:r>
        <w:t xml:space="preserve">Certificate requests, renewal, and re-key requests, and revocation;</w:t>
      </w:r>
    </w:p>
    <w:p>
      <w:pPr>
        <w:numPr>
          <w:ilvl w:val="1"/>
          <w:numId w:val="1023"/>
        </w:numPr>
      </w:pPr>
      <w:r>
        <w:t xml:space="preserve">All verification activities stipulated in these Requirements and the CA’s Certification Practice Statement;</w:t>
      </w:r>
    </w:p>
    <w:p>
      <w:pPr>
        <w:numPr>
          <w:ilvl w:val="1"/>
          <w:numId w:val="1023"/>
        </w:numPr>
      </w:pPr>
      <w:r>
        <w:t xml:space="preserve">Date, time, phone number used, persons spoken to, and end results of verification telephone calls;</w:t>
      </w:r>
    </w:p>
    <w:p>
      <w:pPr>
        <w:numPr>
          <w:ilvl w:val="1"/>
          <w:numId w:val="1023"/>
        </w:numPr>
      </w:pPr>
      <w:r>
        <w:t xml:space="preserve">Acceptance and rejection of certificate requests; Frequency of Processing Log</w:t>
      </w:r>
    </w:p>
    <w:p>
      <w:pPr>
        <w:numPr>
          <w:ilvl w:val="1"/>
          <w:numId w:val="1023"/>
        </w:numPr>
      </w:pPr>
      <w:r>
        <w:t xml:space="preserve">Issuance of Certificates; and</w:t>
      </w:r>
    </w:p>
    <w:p>
      <w:pPr>
        <w:numPr>
          <w:ilvl w:val="1"/>
          <w:numId w:val="1023"/>
        </w:numPr>
      </w:pPr>
      <w:r>
        <w:t xml:space="preserve">Generation of Certificate Revocation Lists and OCSP entries.</w:t>
      </w:r>
    </w:p>
    <w:p>
      <w:pPr>
        <w:numPr>
          <w:ilvl w:val="0"/>
          <w:numId w:val="1021"/>
        </w:numPr>
      </w:pPr>
      <w:r>
        <w:t xml:space="preserve">Security events, including:</w:t>
      </w:r>
    </w:p>
    <w:p>
      <w:pPr>
        <w:numPr>
          <w:ilvl w:val="1"/>
          <w:numId w:val="1024"/>
        </w:numPr>
      </w:pPr>
      <w:r>
        <w:t xml:space="preserve">Successful and unsuccessful PKI system access attempts;</w:t>
      </w:r>
    </w:p>
    <w:p>
      <w:pPr>
        <w:numPr>
          <w:ilvl w:val="1"/>
          <w:numId w:val="1024"/>
        </w:numPr>
      </w:pPr>
      <w:r>
        <w:t xml:space="preserve">PKI and security system actions performed;</w:t>
      </w:r>
    </w:p>
    <w:p>
      <w:pPr>
        <w:numPr>
          <w:ilvl w:val="1"/>
          <w:numId w:val="1024"/>
        </w:numPr>
      </w:pPr>
      <w:r>
        <w:t xml:space="preserve">Security profile changes;</w:t>
      </w:r>
    </w:p>
    <w:p>
      <w:pPr>
        <w:numPr>
          <w:ilvl w:val="1"/>
          <w:numId w:val="1024"/>
        </w:numPr>
      </w:pPr>
      <w:r>
        <w:t xml:space="preserve">System crashes, hardware failures, and other anomalies;</w:t>
      </w:r>
    </w:p>
    <w:p>
      <w:pPr>
        <w:numPr>
          <w:ilvl w:val="1"/>
          <w:numId w:val="1024"/>
        </w:numPr>
      </w:pPr>
      <w:r>
        <w:t xml:space="preserve">Firewall and router activities; and</w:t>
      </w:r>
    </w:p>
    <w:p>
      <w:pPr>
        <w:numPr>
          <w:ilvl w:val="1"/>
          <w:numId w:val="1024"/>
        </w:numPr>
      </w:pPr>
      <w:r>
        <w:t xml:space="preserve">Entries to and exits from the CA facility.</w:t>
      </w:r>
    </w:p>
    <w:p>
      <w:pPr>
        <w:pStyle w:val="FirstParagraph"/>
      </w:pPr>
      <w:r>
        <w:t xml:space="preserve">Log entries MUST include the following elements:</w:t>
      </w:r>
    </w:p>
    <w:p>
      <w:pPr>
        <w:numPr>
          <w:ilvl w:val="0"/>
          <w:numId w:val="1025"/>
        </w:numPr>
      </w:pPr>
      <w:r>
        <w:t xml:space="preserve">Date and time of entry;</w:t>
      </w:r>
    </w:p>
    <w:p>
      <w:pPr>
        <w:numPr>
          <w:ilvl w:val="0"/>
          <w:numId w:val="1025"/>
        </w:numPr>
      </w:pPr>
      <w:r>
        <w:t xml:space="preserve">Identity of the person making the journal entry; and</w:t>
      </w:r>
    </w:p>
    <w:p>
      <w:pPr>
        <w:numPr>
          <w:ilvl w:val="0"/>
          <w:numId w:val="1025"/>
        </w:numPr>
      </w:pPr>
      <w:r>
        <w:t xml:space="preserve">Description of the entry.</w:t>
      </w:r>
    </w:p>
    <w:p>
      <w:pPr>
        <w:pStyle w:val="Heading3"/>
      </w:pPr>
      <w:bookmarkStart w:id="204" w:name="X112113dcc51b1ab004f1a96946e55bb1ea09e70"/>
      <w:r>
        <w:t xml:space="preserve">5.4.2 Frequency for Processing and Archiving Audit Logs</w:t>
      </w:r>
      <w:bookmarkEnd w:id="204"/>
    </w:p>
    <w:p>
      <w:pPr>
        <w:pStyle w:val="Heading3"/>
      </w:pPr>
      <w:bookmarkStart w:id="205" w:name="retention-period-for-audit-logs"/>
      <w:r>
        <w:t xml:space="preserve">5.4.3 Retention Period for Audit Logs</w:t>
      </w:r>
      <w:bookmarkEnd w:id="205"/>
    </w:p>
    <w:p>
      <w:pPr>
        <w:pStyle w:val="FirstParagraph"/>
      </w:pPr>
      <w:r>
        <w:t xml:space="preserve">The CA SHALL retain any audit logs generated for at least seven years. The CA SHALL make these audit logs available to its Qualified Auditor upon request.</w:t>
      </w:r>
    </w:p>
    <w:p>
      <w:pPr>
        <w:pStyle w:val="Heading3"/>
      </w:pPr>
      <w:bookmarkStart w:id="206" w:name="protection-of-audit-log"/>
      <w:r>
        <w:t xml:space="preserve">5.4.4 Protection of Audit Log</w:t>
      </w:r>
      <w:bookmarkEnd w:id="206"/>
    </w:p>
    <w:p>
      <w:pPr>
        <w:pStyle w:val="Heading3"/>
      </w:pPr>
      <w:bookmarkStart w:id="207" w:name="audit-log-backup-procedures"/>
      <w:r>
        <w:t xml:space="preserve">5.4.5 Audit Log Backup Procedures</w:t>
      </w:r>
      <w:bookmarkEnd w:id="207"/>
    </w:p>
    <w:p>
      <w:pPr>
        <w:pStyle w:val="Heading3"/>
      </w:pPr>
      <w:bookmarkStart w:id="208" w:name="X19ba7653639b0142a62b92ba54e3f018cbc4889"/>
      <w:r>
        <w:t xml:space="preserve">5.4.6 Audit Log Accumulation System (internal vs. external)</w:t>
      </w:r>
      <w:bookmarkEnd w:id="208"/>
    </w:p>
    <w:p>
      <w:pPr>
        <w:pStyle w:val="Heading3"/>
      </w:pPr>
      <w:bookmarkStart w:id="209" w:name="notification-to-event-causing-subject"/>
      <w:r>
        <w:t xml:space="preserve">5.4.7 Notification to event-causing subject</w:t>
      </w:r>
      <w:bookmarkEnd w:id="209"/>
    </w:p>
    <w:p>
      <w:pPr>
        <w:pStyle w:val="Heading3"/>
      </w:pPr>
      <w:bookmarkStart w:id="210" w:name="vulnerability-assessments"/>
      <w:r>
        <w:t xml:space="preserve">5.4.8 Vulnerability assessments</w:t>
      </w:r>
      <w:bookmarkEnd w:id="210"/>
    </w:p>
    <w:p>
      <w:pPr>
        <w:pStyle w:val="FirstParagraph"/>
      </w:pPr>
      <w:r>
        <w:t xml:space="preserve">Additionally, the CA’s security program MUST include an annual Risk Assessment that:</w:t>
      </w:r>
    </w:p>
    <w:p>
      <w:pPr>
        <w:numPr>
          <w:ilvl w:val="0"/>
          <w:numId w:val="1026"/>
        </w:numPr>
      </w:pPr>
      <w:r>
        <w:t xml:space="preserve">Identifies foreseeable internal and external threats that could result in unauthorized access, disclosure, misuse, alteration, or destruction of any Certificate Data or Certificate Management Processes;</w:t>
      </w:r>
    </w:p>
    <w:p>
      <w:pPr>
        <w:numPr>
          <w:ilvl w:val="0"/>
          <w:numId w:val="1026"/>
        </w:numPr>
      </w:pPr>
      <w:r>
        <w:t xml:space="preserve">Assesses the likelihood and potential damage of these threats, taking into consideration the sensitivity of the Certificate Data and Certificate Management Processes; and</w:t>
      </w:r>
    </w:p>
    <w:p>
      <w:pPr>
        <w:numPr>
          <w:ilvl w:val="0"/>
          <w:numId w:val="1026"/>
        </w:numPr>
      </w:pPr>
      <w:r>
        <w:t xml:space="preserve">Assesses the sufficiency of the policies, procedures, information systems, technology, and other arrangements that the CA has in place to counter such threats.</w:t>
      </w:r>
    </w:p>
    <w:p>
      <w:pPr>
        <w:pStyle w:val="Heading2"/>
      </w:pPr>
      <w:bookmarkStart w:id="211" w:name="records-archival"/>
      <w:r>
        <w:t xml:space="preserve">5.5 Records archival</w:t>
      </w:r>
      <w:bookmarkEnd w:id="211"/>
    </w:p>
    <w:p>
      <w:pPr>
        <w:pStyle w:val="Heading3"/>
      </w:pPr>
      <w:bookmarkStart w:id="212" w:name="types-of-records-archived"/>
      <w:r>
        <w:t xml:space="preserve">5.5.1 Types of records archived</w:t>
      </w:r>
      <w:bookmarkEnd w:id="212"/>
    </w:p>
    <w:p>
      <w:pPr>
        <w:pStyle w:val="Heading3"/>
      </w:pPr>
      <w:bookmarkStart w:id="213" w:name="retention-period-for-archive"/>
      <w:r>
        <w:t xml:space="preserve">5.5.2 Retention period for archive</w:t>
      </w:r>
      <w:bookmarkEnd w:id="213"/>
    </w:p>
    <w:p>
      <w:pPr>
        <w:pStyle w:val="FirstParagraph"/>
      </w:pPr>
      <w:r>
        <w:t xml:space="preserve">The CA SHALL retain all documentation relating to certificate requests and the verification thereof, and all Certificates and revocation thereof, for at least seven years after any Certificate based on that documentation ceases to be valid.</w:t>
      </w:r>
    </w:p>
    <w:p>
      <w:pPr>
        <w:pStyle w:val="Heading3"/>
      </w:pPr>
      <w:bookmarkStart w:id="214" w:name="protection-of-archive"/>
      <w:r>
        <w:t xml:space="preserve">5.5.3 Protection of archive</w:t>
      </w:r>
      <w:bookmarkEnd w:id="214"/>
    </w:p>
    <w:p>
      <w:pPr>
        <w:pStyle w:val="Heading3"/>
      </w:pPr>
      <w:bookmarkStart w:id="215" w:name="archive-backup-procedures"/>
      <w:r>
        <w:t xml:space="preserve">5.5.4 Archive backup procedures</w:t>
      </w:r>
      <w:bookmarkEnd w:id="215"/>
    </w:p>
    <w:p>
      <w:pPr>
        <w:pStyle w:val="Heading3"/>
      </w:pPr>
      <w:bookmarkStart w:id="216" w:name="X3466446de30ddd2ceb84bd84d775d4466a7eaa3"/>
      <w:r>
        <w:t xml:space="preserve">5.5.5 Requirements for time-stamping of records</w:t>
      </w:r>
      <w:bookmarkEnd w:id="216"/>
    </w:p>
    <w:p>
      <w:pPr>
        <w:pStyle w:val="Heading3"/>
      </w:pPr>
      <w:bookmarkStart w:id="217" w:name="X522660f2a84ffab41b2da9d4bcc1aa5bbc2d5a8"/>
      <w:r>
        <w:t xml:space="preserve">5.5.6 Archive collection system (internal or external)</w:t>
      </w:r>
      <w:bookmarkEnd w:id="217"/>
    </w:p>
    <w:p>
      <w:pPr>
        <w:pStyle w:val="Heading3"/>
      </w:pPr>
      <w:bookmarkStart w:id="218" w:name="Xc9db8eb30a5cecfacc2a8716c32b0baa82b4f93"/>
      <w:r>
        <w:t xml:space="preserve">5.5.7 Procedures to obtain and verify archive information</w:t>
      </w:r>
      <w:bookmarkEnd w:id="218"/>
    </w:p>
    <w:p>
      <w:pPr>
        <w:pStyle w:val="Heading2"/>
      </w:pPr>
      <w:bookmarkStart w:id="219" w:name="key-changeover"/>
      <w:r>
        <w:t xml:space="preserve">5.6 Key changeover</w:t>
      </w:r>
      <w:bookmarkEnd w:id="219"/>
    </w:p>
    <w:p>
      <w:pPr>
        <w:pStyle w:val="Heading2"/>
      </w:pPr>
      <w:bookmarkStart w:id="220" w:name="compromise-and-disaster-recovery"/>
      <w:r>
        <w:t xml:space="preserve">5.7 Compromise and disaster recovery</w:t>
      </w:r>
      <w:bookmarkEnd w:id="220"/>
    </w:p>
    <w:p>
      <w:pPr>
        <w:pStyle w:val="Heading3"/>
      </w:pPr>
      <w:bookmarkStart w:id="221" w:name="X123a028efb6a723267f3d4c3ea430df8f69517e"/>
      <w:r>
        <w:t xml:space="preserve">5.7.1 Incident and compromise handling procedures</w:t>
      </w:r>
      <w:bookmarkEnd w:id="221"/>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27"/>
        </w:numPr>
      </w:pPr>
      <w:r>
        <w:t xml:space="preserve">The conditions for activating the plan,</w:t>
      </w:r>
    </w:p>
    <w:p>
      <w:pPr>
        <w:numPr>
          <w:ilvl w:val="0"/>
          <w:numId w:val="1027"/>
        </w:numPr>
      </w:pPr>
      <w:r>
        <w:t xml:space="preserve">Emergency procedures,</w:t>
      </w:r>
    </w:p>
    <w:p>
      <w:pPr>
        <w:numPr>
          <w:ilvl w:val="0"/>
          <w:numId w:val="1027"/>
        </w:numPr>
      </w:pPr>
      <w:r>
        <w:t xml:space="preserve">Fallback procedures,</w:t>
      </w:r>
    </w:p>
    <w:p>
      <w:pPr>
        <w:numPr>
          <w:ilvl w:val="0"/>
          <w:numId w:val="1027"/>
        </w:numPr>
      </w:pPr>
      <w:r>
        <w:t xml:space="preserve">Resumption procedures,</w:t>
      </w:r>
    </w:p>
    <w:p>
      <w:pPr>
        <w:numPr>
          <w:ilvl w:val="0"/>
          <w:numId w:val="1027"/>
        </w:numPr>
      </w:pPr>
      <w:r>
        <w:t xml:space="preserve">A maintenance schedule for the plan;</w:t>
      </w:r>
    </w:p>
    <w:p>
      <w:pPr>
        <w:numPr>
          <w:ilvl w:val="0"/>
          <w:numId w:val="1027"/>
        </w:numPr>
      </w:pPr>
      <w:r>
        <w:t xml:space="preserve">Awareness and education requirements;</w:t>
      </w:r>
    </w:p>
    <w:p>
      <w:pPr>
        <w:numPr>
          <w:ilvl w:val="0"/>
          <w:numId w:val="1027"/>
        </w:numPr>
      </w:pPr>
      <w:r>
        <w:t xml:space="preserve">The responsibilities of the individuals;</w:t>
      </w:r>
    </w:p>
    <w:p>
      <w:pPr>
        <w:numPr>
          <w:ilvl w:val="0"/>
          <w:numId w:val="1027"/>
        </w:numPr>
      </w:pPr>
      <w:r>
        <w:t xml:space="preserve">Recovery time objective (RTO);</w:t>
      </w:r>
    </w:p>
    <w:p>
      <w:pPr>
        <w:numPr>
          <w:ilvl w:val="0"/>
          <w:numId w:val="1027"/>
        </w:numPr>
      </w:pPr>
      <w:r>
        <w:t xml:space="preserve">Regular testing of contingency plans.</w:t>
      </w:r>
    </w:p>
    <w:p>
      <w:pPr>
        <w:numPr>
          <w:ilvl w:val="0"/>
          <w:numId w:val="1027"/>
        </w:numPr>
      </w:pPr>
      <w:r>
        <w:t xml:space="preserve">The CA’s plan to maintain or restore the CA’s business operations in a timely manner following interruption to or failure of critical business processes</w:t>
      </w:r>
    </w:p>
    <w:p>
      <w:pPr>
        <w:numPr>
          <w:ilvl w:val="0"/>
          <w:numId w:val="1027"/>
        </w:numPr>
      </w:pPr>
      <w:r>
        <w:t xml:space="preserve">A requirement to store critical cryptographic materials (i.e., secure cryptographic device and activation materials) at an alternate location;</w:t>
      </w:r>
    </w:p>
    <w:p>
      <w:pPr>
        <w:numPr>
          <w:ilvl w:val="0"/>
          <w:numId w:val="1027"/>
        </w:numPr>
      </w:pPr>
      <w:r>
        <w:t xml:space="preserve">What constitutes an acceptable system outage and recovery time</w:t>
      </w:r>
    </w:p>
    <w:p>
      <w:pPr>
        <w:numPr>
          <w:ilvl w:val="0"/>
          <w:numId w:val="1027"/>
        </w:numPr>
      </w:pPr>
      <w:r>
        <w:t xml:space="preserve">How frequently backup copies of essential business information and software are taken;</w:t>
      </w:r>
    </w:p>
    <w:p>
      <w:pPr>
        <w:numPr>
          <w:ilvl w:val="0"/>
          <w:numId w:val="1027"/>
        </w:numPr>
      </w:pPr>
      <w:r>
        <w:t xml:space="preserve">The distance of recovery facilities to the CA’s main site; and</w:t>
      </w:r>
    </w:p>
    <w:p>
      <w:pPr>
        <w:numPr>
          <w:ilvl w:val="0"/>
          <w:numId w:val="1027"/>
        </w:numPr>
      </w:pPr>
      <w:r>
        <w:t xml:space="preserve">Procedures for securing its facility to the extent possible during the period of time following a disaster and prior to restoring a secure environment either at the original or a remote site.</w:t>
      </w:r>
    </w:p>
    <w:p>
      <w:pPr>
        <w:pStyle w:val="Heading3"/>
      </w:pPr>
      <w:bookmarkStart w:id="222" w:name="X89ff26f58066bb03ce48f082e6aa630aa3e3a75"/>
      <w:r>
        <w:t xml:space="preserve">5.7.2 Recovery Procedures if Computing resources, software, and/or data are corrupted</w:t>
      </w:r>
      <w:bookmarkEnd w:id="222"/>
    </w:p>
    <w:p>
      <w:pPr>
        <w:pStyle w:val="Heading3"/>
      </w:pPr>
      <w:bookmarkStart w:id="223" w:name="recovery-procedures-after-key-compromise"/>
      <w:r>
        <w:t xml:space="preserve">5.7.3 Recovery Procedures after Key Compromise</w:t>
      </w:r>
      <w:bookmarkEnd w:id="223"/>
    </w:p>
    <w:p>
      <w:pPr>
        <w:pStyle w:val="Heading3"/>
      </w:pPr>
      <w:bookmarkStart w:id="224" w:name="Xba9b3eb2e4ff771ae45b1d4d386383056b1b218"/>
      <w:r>
        <w:t xml:space="preserve">5.7.4 Business continuity capabilities after a disaster</w:t>
      </w:r>
      <w:bookmarkEnd w:id="224"/>
    </w:p>
    <w:p>
      <w:pPr>
        <w:pStyle w:val="Heading2"/>
      </w:pPr>
      <w:bookmarkStart w:id="225" w:name="ca-or-ra-termination"/>
      <w:r>
        <w:t xml:space="preserve">5.8 CA or RA termination</w:t>
      </w:r>
      <w:bookmarkEnd w:id="225"/>
    </w:p>
    <w:p>
      <w:pPr>
        <w:pStyle w:val="Heading1"/>
      </w:pPr>
      <w:bookmarkStart w:id="226" w:name="technical-security-controls"/>
      <w:r>
        <w:t xml:space="preserve">6. TECHNICAL SECURITY CONTROLS</w:t>
      </w:r>
      <w:bookmarkEnd w:id="226"/>
    </w:p>
    <w:p>
      <w:pPr>
        <w:pStyle w:val="Heading2"/>
      </w:pPr>
      <w:bookmarkStart w:id="227" w:name="key-pair-generation-and-installation"/>
      <w:r>
        <w:t xml:space="preserve">6.1 Key pair generation and installation</w:t>
      </w:r>
      <w:bookmarkEnd w:id="227"/>
    </w:p>
    <w:p>
      <w:pPr>
        <w:pStyle w:val="Heading3"/>
      </w:pPr>
      <w:bookmarkStart w:id="228" w:name="key-pair-generation"/>
      <w:r>
        <w:t xml:space="preserve">6.1.1 Key pair generation</w:t>
      </w:r>
      <w:bookmarkEnd w:id="228"/>
    </w:p>
    <w:p>
      <w:pPr>
        <w:pStyle w:val="Heading4"/>
      </w:pPr>
      <w:bookmarkStart w:id="229" w:name="ca-key-pair-generation"/>
      <w:r>
        <w:t xml:space="preserve">6.1.1.1 CA Key Pair Generation</w:t>
      </w:r>
      <w:bookmarkEnd w:id="229"/>
    </w:p>
    <w:p>
      <w:pPr>
        <w:pStyle w:val="FirstParagraph"/>
      </w:pPr>
      <w:r>
        <w:t xml:space="preserve">For Root CA Key Pairs that are either (i) used as Root CA Key Pairs or (ii) Key Pairs generated for a subordinate CA that is not the operator of the Root CA or an Affiliate of the Root CA, the CA SHALL:</w:t>
      </w:r>
    </w:p>
    <w:p>
      <w:pPr>
        <w:numPr>
          <w:ilvl w:val="0"/>
          <w:numId w:val="1028"/>
        </w:numPr>
      </w:pPr>
      <w:r>
        <w:t xml:space="preserve">prepare and follow a Key Generation Script,</w:t>
      </w:r>
    </w:p>
    <w:p>
      <w:pPr>
        <w:numPr>
          <w:ilvl w:val="0"/>
          <w:numId w:val="1028"/>
        </w:numPr>
      </w:pPr>
      <w:r>
        <w:t xml:space="preserve">have a Qualified Auditor witness the Root CA Key Pair generation process or record a video of the entire Root CA Key Pair generation process, and</w:t>
      </w:r>
    </w:p>
    <w:p>
      <w:pPr>
        <w:numPr>
          <w:ilvl w:val="0"/>
          <w:numId w:val="1028"/>
        </w:numPr>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29"/>
        </w:numPr>
      </w:pPr>
      <w:r>
        <w:t xml:space="preserve">prepare and follow a Key Generation Script and</w:t>
      </w:r>
    </w:p>
    <w:p>
      <w:pPr>
        <w:numPr>
          <w:ilvl w:val="0"/>
          <w:numId w:val="1029"/>
        </w:numPr>
      </w:pPr>
      <w:r>
        <w:t xml:space="preserve">have a Qualified Auditor witness the Root CA Key Pair generation process or record a video of the entire Root CA Key Pair generation process.</w:t>
      </w:r>
    </w:p>
    <w:p>
      <w:pPr>
        <w:pStyle w:val="FirstParagraph"/>
      </w:pPr>
      <w:r>
        <w:t xml:space="preserve">In all cases, the CA SHALL:</w:t>
      </w:r>
    </w:p>
    <w:p>
      <w:pPr>
        <w:numPr>
          <w:ilvl w:val="0"/>
          <w:numId w:val="1030"/>
        </w:numPr>
      </w:pPr>
      <w:r>
        <w:t xml:space="preserve">generate the keys in a physically secured environment as described in the CA’s Certificate Policy and/or Certification Practice Statement;</w:t>
      </w:r>
    </w:p>
    <w:p>
      <w:pPr>
        <w:numPr>
          <w:ilvl w:val="0"/>
          <w:numId w:val="1030"/>
        </w:numPr>
      </w:pPr>
      <w:r>
        <w:t xml:space="preserve">generate the CA keys using personnel in Trusted Roles under the principles of multiple person control and split knowledge;</w:t>
      </w:r>
    </w:p>
    <w:p>
      <w:pPr>
        <w:numPr>
          <w:ilvl w:val="0"/>
          <w:numId w:val="1030"/>
        </w:numPr>
      </w:pPr>
      <w:r>
        <w:t xml:space="preserve">generate the CA keys within cryptographic modules meeting the applicable technical and business requirements as disclosed in the CA’s Certificate Policy and/or Certification Practice Statement;</w:t>
      </w:r>
    </w:p>
    <w:p>
      <w:pPr>
        <w:numPr>
          <w:ilvl w:val="0"/>
          <w:numId w:val="1030"/>
        </w:numPr>
      </w:pPr>
      <w:r>
        <w:t xml:space="preserve">log its CA key generation activities; and</w:t>
      </w:r>
    </w:p>
    <w:p>
      <w:pPr>
        <w:numPr>
          <w:ilvl w:val="0"/>
          <w:numId w:val="1030"/>
        </w:numPr>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p>
      <w:pPr>
        <w:pStyle w:val="Heading4"/>
      </w:pPr>
      <w:bookmarkStart w:id="230" w:name="ra-key-pair-generation"/>
      <w:r>
        <w:t xml:space="preserve">6.1.1.2 RA Key Pair Generation</w:t>
      </w:r>
      <w:bookmarkEnd w:id="230"/>
    </w:p>
    <w:p>
      <w:pPr>
        <w:pStyle w:val="Heading4"/>
      </w:pPr>
      <w:bookmarkStart w:id="231" w:name="subscriber-key-pair-generation"/>
      <w:r>
        <w:t xml:space="preserve">6.1.1.3 Subscriber Key Pair Generation</w:t>
      </w:r>
      <w:bookmarkEnd w:id="231"/>
    </w:p>
    <w:p>
      <w:pPr>
        <w:pStyle w:val="FirstParagraph"/>
      </w:pPr>
      <w:r>
        <w:t xml:space="preserve">The CA SHALL reject a certificate request if the requested Public Key does not meet the requirements set forth in Sections 6.1.5 and 6.1.6 or if it has a known weak Private Key (such as a Debian weak key, see</w:t>
      </w:r>
      <w:r>
        <w:t xml:space="preserve"> </w:t>
      </w:r>
      <w:hyperlink r:id="rId232">
        <w:r>
          <w:rPr>
            <w:rStyle w:val="Hyperlink"/>
          </w:rPr>
          <w:t xml:space="preserve">http://wiki.debian.org/SSLkeys</w:t>
        </w:r>
      </w:hyperlink>
      <w:r>
        <w:t xml:space="preserve">).</w:t>
      </w:r>
    </w:p>
    <w:p>
      <w:pPr>
        <w:pStyle w:val="Heading3"/>
      </w:pPr>
      <w:bookmarkStart w:id="233" w:name="private-key-delivery-to-subscriber"/>
      <w:r>
        <w:t xml:space="preserve">6.1.2 Private key delivery to subscriber</w:t>
      </w:r>
      <w:bookmarkEnd w:id="233"/>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generated the Private Key on behalf of the Subscriber, then the CA SHALL encrypt the Private Key for transport to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pPr>
        <w:pStyle w:val="Heading3"/>
      </w:pPr>
      <w:bookmarkStart w:id="234" w:name="Xa5129ee60453218dfabb13032cc02ec023bed32"/>
      <w:r>
        <w:t xml:space="preserve">6.1.3 Public key delivery to certificate issuer</w:t>
      </w:r>
      <w:bookmarkEnd w:id="234"/>
    </w:p>
    <w:p>
      <w:pPr>
        <w:pStyle w:val="Heading3"/>
      </w:pPr>
      <w:bookmarkStart w:id="235" w:name="X22c0c227ecaf75b2ca27f457d393127db823896"/>
      <w:r>
        <w:t xml:space="preserve">6.1.4 CA public key delivery to relying parties</w:t>
      </w:r>
      <w:bookmarkEnd w:id="235"/>
    </w:p>
    <w:p>
      <w:pPr>
        <w:pStyle w:val="Heading3"/>
      </w:pPr>
      <w:bookmarkStart w:id="236" w:name="algorithm-type-and-key-sizes"/>
      <w:r>
        <w:t xml:space="preserve">6.1.5 Algorithm type and key sizes</w:t>
      </w:r>
      <w:bookmarkEnd w:id="236"/>
    </w:p>
    <w:p>
      <w:pPr>
        <w:pStyle w:val="FirstParagraph"/>
      </w:pPr>
      <w:r>
        <w:t xml:space="preserve">Certificates MUST meet the following requirements for algorithm type and key size.</w:t>
      </w:r>
    </w:p>
    <w:p>
      <w:pPr>
        <w:pStyle w:val="Heading4"/>
      </w:pPr>
      <w:bookmarkStart w:id="237" w:name="root-ca-certificates"/>
      <w:r>
        <w:t xml:space="preserve">6.1.5.1 Root CA Certificates</w:t>
      </w:r>
      <w:bookmarkEnd w:id="237"/>
    </w:p>
    <w:p>
      <w:pPr>
        <w:numPr>
          <w:ilvl w:val="0"/>
          <w:numId w:val="1031"/>
        </w:numPr>
      </w:pPr>
      <w:r>
        <w:rPr>
          <w:b/>
        </w:rPr>
        <w:t xml:space="preserve">Digest algorithm:</w:t>
      </w:r>
      <w:r>
        <w:t xml:space="preserve"> </w:t>
      </w:r>
      <w:r>
        <w:t xml:space="preserve">SHA-256, SHA-384 or SHA-512</w:t>
      </w:r>
    </w:p>
    <w:p>
      <w:pPr>
        <w:numPr>
          <w:ilvl w:val="0"/>
          <w:numId w:val="1031"/>
        </w:numPr>
      </w:pPr>
      <w:r>
        <w:rPr>
          <w:b/>
        </w:rPr>
        <w:t xml:space="preserve">Minimum RSA modulus size (bits):</w:t>
      </w:r>
      <w:r>
        <w:t xml:space="preserve"> </w:t>
      </w:r>
      <w:r>
        <w:t xml:space="preserve">2048</w:t>
      </w:r>
    </w:p>
    <w:p>
      <w:pPr>
        <w:numPr>
          <w:ilvl w:val="0"/>
          <w:numId w:val="1031"/>
        </w:numPr>
      </w:pPr>
      <w:r>
        <w:rPr>
          <w:b/>
        </w:rPr>
        <w:t xml:space="preserve">ECC curve:</w:t>
      </w:r>
      <w:r>
        <w:t xml:space="preserve"> </w:t>
      </w:r>
      <w:r>
        <w:t xml:space="preserve">NIST P-256, P-384, or P-521</w:t>
      </w:r>
    </w:p>
    <w:p>
      <w:pPr>
        <w:numPr>
          <w:ilvl w:val="0"/>
          <w:numId w:val="1031"/>
        </w:numPr>
      </w:pPr>
      <w:r>
        <w:rPr>
          <w:b/>
        </w:rPr>
        <w:t xml:space="preserve">Minimum DSA modulus and divisor size (bits)*:</w:t>
      </w:r>
      <w:r>
        <w:t xml:space="preserve"> </w:t>
      </w:r>
      <w:r>
        <w:t xml:space="preserve">L= 2048 N= 224 or L= 2048 N= 256</w:t>
      </w:r>
    </w:p>
    <w:p>
      <w:pPr>
        <w:pStyle w:val="FirstParagraph"/>
      </w:pPr>
      <w:r>
        <w:rPr>
          <w:i/>
        </w:rPr>
        <w:t xml:space="preserve">* L and N (the bit lengths of modulus p and divisor q, respectively) are described in FIPS 186-4.</w:t>
      </w:r>
    </w:p>
    <w:p>
      <w:pPr>
        <w:pStyle w:val="Heading4"/>
      </w:pPr>
      <w:bookmarkStart w:id="238" w:name="subordinate-ca-certificates"/>
      <w:r>
        <w:t xml:space="preserve">6.1.5.2 Subordinate CA Certificates</w:t>
      </w:r>
      <w:bookmarkEnd w:id="238"/>
    </w:p>
    <w:p>
      <w:pPr>
        <w:numPr>
          <w:ilvl w:val="0"/>
          <w:numId w:val="1032"/>
        </w:numPr>
      </w:pPr>
      <w:r>
        <w:rPr>
          <w:b/>
        </w:rPr>
        <w:t xml:space="preserve">Digest algorithm:</w:t>
      </w:r>
      <w:r>
        <w:t xml:space="preserve"> </w:t>
      </w:r>
      <w:r>
        <w:t xml:space="preserve">SHA-256, SHA-384 or SHA-512</w:t>
      </w:r>
    </w:p>
    <w:p>
      <w:pPr>
        <w:numPr>
          <w:ilvl w:val="0"/>
          <w:numId w:val="1032"/>
        </w:numPr>
      </w:pPr>
      <w:r>
        <w:rPr>
          <w:b/>
        </w:rPr>
        <w:t xml:space="preserve">Minimum RSA modulus size (bits):</w:t>
      </w:r>
      <w:r>
        <w:t xml:space="preserve"> </w:t>
      </w:r>
      <w:r>
        <w:t xml:space="preserve">2048</w:t>
      </w:r>
    </w:p>
    <w:p>
      <w:pPr>
        <w:numPr>
          <w:ilvl w:val="0"/>
          <w:numId w:val="1032"/>
        </w:numPr>
      </w:pPr>
      <w:r>
        <w:rPr>
          <w:b/>
        </w:rPr>
        <w:t xml:space="preserve">ECC curve:</w:t>
      </w:r>
      <w:r>
        <w:t xml:space="preserve"> </w:t>
      </w:r>
      <w:r>
        <w:t xml:space="preserve">NIST P-256, P-384, or P-521</w:t>
      </w:r>
    </w:p>
    <w:p>
      <w:pPr>
        <w:numPr>
          <w:ilvl w:val="0"/>
          <w:numId w:val="1032"/>
        </w:numPr>
      </w:pPr>
      <w:r>
        <w:rPr>
          <w:b/>
        </w:rPr>
        <w:t xml:space="preserve">Minimum DSA modulus and divisor size (bits)*:</w:t>
      </w:r>
      <w:r>
        <w:t xml:space="preserve"> </w:t>
      </w:r>
      <w:r>
        <w:t xml:space="preserve">L= 2048 N= 224 or L= 2048 N= 256</w:t>
      </w:r>
    </w:p>
    <w:p>
      <w:pPr>
        <w:pStyle w:val="FirstParagraph"/>
      </w:pPr>
      <w:r>
        <w:rPr>
          <w:i/>
        </w:rPr>
        <w:t xml:space="preserve">* L and N (the bit lengths of modulus p and divisor q, respectively) are described in FIPS 186-4.</w:t>
      </w:r>
    </w:p>
    <w:p>
      <w:pPr>
        <w:pStyle w:val="Heading4"/>
      </w:pPr>
      <w:bookmarkStart w:id="239" w:name="subscriber-certificates"/>
      <w:r>
        <w:t xml:space="preserve">6.1.5.3 Subscriber Certificates</w:t>
      </w:r>
      <w:bookmarkEnd w:id="239"/>
    </w:p>
    <w:p>
      <w:pPr>
        <w:numPr>
          <w:ilvl w:val="0"/>
          <w:numId w:val="1033"/>
        </w:numPr>
      </w:pPr>
      <w:r>
        <w:rPr>
          <w:b/>
        </w:rPr>
        <w:t xml:space="preserve">Digest algorithm:</w:t>
      </w:r>
      <w:r>
        <w:t xml:space="preserve"> </w:t>
      </w:r>
      <w:r>
        <w:t xml:space="preserve">SHA-256, SHA-384 or SHA-512|</w:t>
      </w:r>
    </w:p>
    <w:p>
      <w:pPr>
        <w:numPr>
          <w:ilvl w:val="0"/>
          <w:numId w:val="1033"/>
        </w:numPr>
      </w:pPr>
      <w:r>
        <w:rPr>
          <w:b/>
        </w:rPr>
        <w:t xml:space="preserve">Minimum RSA modulus size (bits):</w:t>
      </w:r>
      <w:r>
        <w:t xml:space="preserve"> </w:t>
      </w:r>
      <w:r>
        <w:t xml:space="preserve">2048</w:t>
      </w:r>
    </w:p>
    <w:p>
      <w:pPr>
        <w:numPr>
          <w:ilvl w:val="0"/>
          <w:numId w:val="1033"/>
        </w:numPr>
      </w:pPr>
      <w:r>
        <w:rPr>
          <w:b/>
        </w:rPr>
        <w:t xml:space="preserve">ECC curve:</w:t>
      </w:r>
      <w:r>
        <w:t xml:space="preserve"> </w:t>
      </w:r>
      <w:r>
        <w:t xml:space="preserve">NIST P-256, P-384, or P-521</w:t>
      </w:r>
    </w:p>
    <w:p>
      <w:pPr>
        <w:numPr>
          <w:ilvl w:val="0"/>
          <w:numId w:val="1033"/>
        </w:numPr>
      </w:pPr>
      <w:r>
        <w:rPr>
          <w:b/>
        </w:rPr>
        <w:t xml:space="preserve">Minimum DSA modulus and divisor size (bits)*:</w:t>
      </w:r>
      <w:r>
        <w:t xml:space="preserve"> </w:t>
      </w:r>
      <w:r>
        <w:t xml:space="preserve">L= 2048 N= 224 or L= 2048 N= 256</w:t>
      </w:r>
    </w:p>
    <w:p>
      <w:pPr>
        <w:pStyle w:val="FirstParagraph"/>
      </w:pPr>
      <w:r>
        <w:rPr>
          <w:i/>
        </w:rPr>
        <w:t xml:space="preserve">* L and N (the bit lengths of modulus p and divisor q, respectively) are described in FIPS 186-4.</w:t>
      </w:r>
    </w:p>
    <w:p>
      <w:pPr>
        <w:pStyle w:val="Heading3"/>
      </w:pPr>
      <w:bookmarkStart w:id="240" w:name="X1fa4fa2d06867b2ee3f146d573cfc5569b2f041"/>
      <w:r>
        <w:t xml:space="preserve">6.1.6 Public key parameters generation and quality checking</w:t>
      </w:r>
      <w:bookmarkEnd w:id="240"/>
    </w:p>
    <w:p>
      <w:pPr>
        <w:pStyle w:val="FirstParagraph"/>
      </w:pPr>
      <w:r>
        <w:t xml:space="preserve">RSA: The CA SHALL confirm that the value of the public exponent is an odd number equal to 3 or more. Additionally, the public exponent SHOULD be in the range between 2</w:t>
      </w:r>
      <w:r>
        <w:t xml:space="preserve">16</w:t>
      </w:r>
      <w:r>
        <w:t xml:space="preserve">+1 and 2</w:t>
      </w:r>
      <w:r>
        <w:t xml:space="preserve">256</w:t>
      </w:r>
      <w:r>
        <w:t xml:space="preserve">-1. The modulus SHOULD also have the following characteristics: an odd number, not the power of a prime, and have no factors smaller than 752. [Source: Section 5.3.3, NIST SP 800-89]</w:t>
      </w:r>
    </w:p>
    <w:p>
      <w:pPr>
        <w:pStyle w:val="BodyText"/>
      </w:pPr>
      <w:r>
        <w:t xml:space="preserve">DSA: Although FIPS 800-57 says that domain parameters may be made available at some accessible site, compliant DSA certificates MUST include all domain parameters. This is to insure maximum interoperability among relying party software. The CA MUST confirm that the value of the public key has the unique correct representation and range in the field, and that the key has the correct order in the subgroup. [Source: Section 5.3.1, NIST SP 800-89]</w:t>
      </w:r>
    </w:p>
    <w:p>
      <w:pPr>
        <w:pStyle w:val="BodyText"/>
      </w:pPr>
      <w:r>
        <w:t xml:space="preserve">ECC: The CA SHOULD confirm the validity of all keys using either the ECC Full Public Key Validation Routine or the ECC Partial Public Key Validation Routine. [Source: Sections 5.6.2.3.2 and 5.6.2.3.3, respectively, of NIST SP 800-56A: Revision 2]</w:t>
      </w:r>
    </w:p>
    <w:p>
      <w:pPr>
        <w:pStyle w:val="Heading3"/>
      </w:pPr>
      <w:bookmarkStart w:id="241" w:name="X2514d20374b43312db0d9a93c5bf43d8b6494e9"/>
      <w:r>
        <w:t xml:space="preserve">6.1.7 Key usage purposes (as per X.509 v3 key usage field)</w:t>
      </w:r>
      <w:bookmarkEnd w:id="241"/>
    </w:p>
    <w:p>
      <w:pPr>
        <w:pStyle w:val="FirstParagraph"/>
      </w:pPr>
      <w:r>
        <w:t xml:space="preserve">Private Keys corresponding to Root Certificates MUST NOT be used to sign Certificates except in the following cases:</w:t>
      </w:r>
    </w:p>
    <w:p>
      <w:pPr>
        <w:numPr>
          <w:ilvl w:val="0"/>
          <w:numId w:val="1034"/>
        </w:numPr>
      </w:pPr>
      <w:r>
        <w:t xml:space="preserve">Self-signed Certificates to represent the Root CA itself;</w:t>
      </w:r>
    </w:p>
    <w:p>
      <w:pPr>
        <w:numPr>
          <w:ilvl w:val="0"/>
          <w:numId w:val="1034"/>
        </w:numPr>
      </w:pPr>
      <w:r>
        <w:t xml:space="preserve">Certificates for Subordinate CAs and Cross Certificates;</w:t>
      </w:r>
    </w:p>
    <w:p>
      <w:pPr>
        <w:numPr>
          <w:ilvl w:val="0"/>
          <w:numId w:val="1034"/>
        </w:numPr>
      </w:pPr>
      <w:r>
        <w:t xml:space="preserve">Certificates for infrastructure purposes (administrative role certificates, internal CA operational device certificates); and</w:t>
      </w:r>
    </w:p>
    <w:p>
      <w:pPr>
        <w:numPr>
          <w:ilvl w:val="0"/>
          <w:numId w:val="1034"/>
        </w:numPr>
      </w:pPr>
      <w:r>
        <w:t xml:space="preserve">Certificates for OCSP Response verification.</w:t>
      </w:r>
    </w:p>
    <w:p>
      <w:pPr>
        <w:pStyle w:val="Heading2"/>
      </w:pPr>
      <w:bookmarkStart w:id="242" w:name="Xe62ed975cc91b5d3d9edd501c48261f0c5f4079"/>
      <w:r>
        <w:t xml:space="preserve">6.2 Private Key Protection and Cryptographic Module Engineering Controls</w:t>
      </w:r>
      <w:bookmarkEnd w:id="242"/>
    </w:p>
    <w:p>
      <w:pPr>
        <w:pStyle w:val="FirstParagraph"/>
      </w:pPr>
      <w:r>
        <w:t xml:space="preserve">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pPr>
        <w:pStyle w:val="Heading3"/>
      </w:pPr>
      <w:bookmarkStart w:id="243" w:name="X7543a0dee1246a912e3c9e4dbd549eb5a36c3fd"/>
      <w:r>
        <w:t xml:space="preserve">6.2.1 Cryptographic module standards and controls</w:t>
      </w:r>
      <w:bookmarkEnd w:id="243"/>
    </w:p>
    <w:p>
      <w:pPr>
        <w:pStyle w:val="Heading3"/>
      </w:pPr>
      <w:bookmarkStart w:id="244" w:name="X0069fc021ee23c8f1337c15410ce057514bc272"/>
      <w:r>
        <w:t xml:space="preserve">6.2.2 Private key (n out of m) multi-person control</w:t>
      </w:r>
      <w:bookmarkEnd w:id="244"/>
    </w:p>
    <w:p>
      <w:pPr>
        <w:pStyle w:val="Heading3"/>
      </w:pPr>
      <w:bookmarkStart w:id="245" w:name="private-key-escrow"/>
      <w:r>
        <w:t xml:space="preserve">6.2.3 Private key escrow</w:t>
      </w:r>
      <w:bookmarkEnd w:id="245"/>
    </w:p>
    <w:p>
      <w:pPr>
        <w:pStyle w:val="Heading3"/>
      </w:pPr>
      <w:bookmarkStart w:id="246" w:name="private-key-backup"/>
      <w:r>
        <w:t xml:space="preserve">6.2.4 Private key backup</w:t>
      </w:r>
      <w:bookmarkEnd w:id="246"/>
    </w:p>
    <w:p>
      <w:pPr>
        <w:pStyle w:val="FirstParagraph"/>
      </w:pPr>
      <w:r>
        <w:t xml:space="preserve">See Section 5.2.2.</w:t>
      </w:r>
    </w:p>
    <w:p>
      <w:pPr>
        <w:pStyle w:val="Heading3"/>
      </w:pPr>
      <w:bookmarkStart w:id="247" w:name="private-key-archival"/>
      <w:r>
        <w:t xml:space="preserve">6.2.5 Private key archival</w:t>
      </w:r>
      <w:bookmarkEnd w:id="247"/>
    </w:p>
    <w:p>
      <w:pPr>
        <w:pStyle w:val="FirstParagraph"/>
      </w:pPr>
      <w:r>
        <w:t xml:space="preserve">Parties other than the Subordinate CA SHALL NOT archive the Subordinate CA Private Keys without authorization by the Subordinate CA.</w:t>
      </w:r>
    </w:p>
    <w:p>
      <w:pPr>
        <w:pStyle w:val="Heading3"/>
      </w:pPr>
      <w:bookmarkStart w:id="248" w:name="Xd0dfcad5b40ab6d3239aa0e70d6a83d083ad1ec"/>
      <w:r>
        <w:t xml:space="preserve">6.2.6 Private key transfer into or from a cryptographic module</w:t>
      </w:r>
      <w:bookmarkEnd w:id="248"/>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pPr>
        <w:pStyle w:val="Heading3"/>
      </w:pPr>
      <w:bookmarkStart w:id="249" w:name="X287d97ffd5cac291a542f59d4b26da1136e7df4"/>
      <w:r>
        <w:t xml:space="preserve">6.2.7 Private key storage on cryptographic module</w:t>
      </w:r>
      <w:bookmarkEnd w:id="249"/>
    </w:p>
    <w:p>
      <w:pPr>
        <w:pStyle w:val="FirstParagraph"/>
      </w:pPr>
      <w:r>
        <w:t xml:space="preserve">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pPr>
        <w:pStyle w:val="Heading3"/>
      </w:pPr>
      <w:bookmarkStart w:id="250" w:name="activating-private-keys"/>
      <w:r>
        <w:t xml:space="preserve">6.2.8 Activating Private Keys</w:t>
      </w:r>
      <w:bookmarkEnd w:id="250"/>
    </w:p>
    <w:p>
      <w:pPr>
        <w:pStyle w:val="Heading3"/>
      </w:pPr>
      <w:bookmarkStart w:id="251" w:name="deactivating-private-keys"/>
      <w:r>
        <w:t xml:space="preserve">6.2.9 Deactivating Private Keys</w:t>
      </w:r>
      <w:bookmarkEnd w:id="251"/>
    </w:p>
    <w:p>
      <w:pPr>
        <w:pStyle w:val="Heading3"/>
      </w:pPr>
      <w:bookmarkStart w:id="252" w:name="destroying-private-keys"/>
      <w:r>
        <w:t xml:space="preserve">6.2.10 Destroying Private Keys</w:t>
      </w:r>
      <w:bookmarkEnd w:id="252"/>
    </w:p>
    <w:p>
      <w:pPr>
        <w:pStyle w:val="Heading3"/>
      </w:pPr>
      <w:bookmarkStart w:id="253" w:name="cryptographic-module-capabilities"/>
      <w:r>
        <w:t xml:space="preserve">6.2.11 Cryptographic Module Capabilities</w:t>
      </w:r>
      <w:bookmarkEnd w:id="253"/>
    </w:p>
    <w:p>
      <w:pPr>
        <w:pStyle w:val="Heading2"/>
      </w:pPr>
      <w:bookmarkStart w:id="254" w:name="other-aspects-of-key-pair-management"/>
      <w:r>
        <w:t xml:space="preserve">6.3 Other aspects of key pair management</w:t>
      </w:r>
      <w:bookmarkEnd w:id="254"/>
    </w:p>
    <w:p>
      <w:pPr>
        <w:pStyle w:val="Heading3"/>
      </w:pPr>
      <w:bookmarkStart w:id="255" w:name="public-key-archival"/>
      <w:r>
        <w:t xml:space="preserve">6.3.1 Public key archival</w:t>
      </w:r>
      <w:bookmarkEnd w:id="255"/>
    </w:p>
    <w:p>
      <w:pPr>
        <w:pStyle w:val="Heading3"/>
      </w:pPr>
      <w:bookmarkStart w:id="256" w:name="X151460915c183d1cd9c48352e95ebd6b5e89094"/>
      <w:r>
        <w:t xml:space="preserve">6.3.2 Certificate operational periods and key pair usage periods</w:t>
      </w:r>
      <w:bookmarkEnd w:id="256"/>
    </w:p>
    <w:p>
      <w:pPr>
        <w:pStyle w:val="FirstParagraph"/>
      </w:pPr>
      <w:r>
        <w:t xml:space="preserve">Subscriber Certificates issued after 1 March 2018 MUST have a Validity Period no greater than 825 days.</w:t>
      </w:r>
      <w:r>
        <w:t xml:space="preserve"> </w:t>
      </w:r>
      <w:r>
        <w:t xml:space="preserve">Subscriber Certificates issued after 1 July 2016 but prior to 1 March 2018 MUST have a Validity Period no greater than 39 months.</w:t>
      </w:r>
    </w:p>
    <w:p>
      <w:pPr>
        <w:pStyle w:val="Heading2"/>
      </w:pPr>
      <w:bookmarkStart w:id="257" w:name="activation-data"/>
      <w:r>
        <w:t xml:space="preserve">6.4 Activation data</w:t>
      </w:r>
      <w:bookmarkEnd w:id="257"/>
    </w:p>
    <w:p>
      <w:pPr>
        <w:pStyle w:val="Heading3"/>
      </w:pPr>
      <w:bookmarkStart w:id="258" w:name="X21ac33afc231dc7e8438d9ff299c8b7182e1e67"/>
      <w:r>
        <w:t xml:space="preserve">6.4.1 Activation data generation and installation</w:t>
      </w:r>
      <w:bookmarkEnd w:id="258"/>
    </w:p>
    <w:p>
      <w:pPr>
        <w:pStyle w:val="Heading3"/>
      </w:pPr>
      <w:bookmarkStart w:id="259" w:name="activation-data-protection"/>
      <w:r>
        <w:t xml:space="preserve">6.4.2 Activation data protection</w:t>
      </w:r>
      <w:bookmarkEnd w:id="259"/>
    </w:p>
    <w:p>
      <w:pPr>
        <w:pStyle w:val="Heading3"/>
      </w:pPr>
      <w:bookmarkStart w:id="260" w:name="other-aspects-of-activation-data"/>
      <w:r>
        <w:t xml:space="preserve">6.4.3 Other aspects of activation data</w:t>
      </w:r>
      <w:bookmarkEnd w:id="260"/>
    </w:p>
    <w:p>
      <w:pPr>
        <w:pStyle w:val="Heading2"/>
      </w:pPr>
      <w:bookmarkStart w:id="261" w:name="computer-security-controls"/>
      <w:r>
        <w:t xml:space="preserve">6.5 Computer security controls</w:t>
      </w:r>
      <w:bookmarkEnd w:id="261"/>
    </w:p>
    <w:p>
      <w:pPr>
        <w:pStyle w:val="Heading3"/>
      </w:pPr>
      <w:bookmarkStart w:id="262" w:name="X6a1db123cb839bc5813aee028ffde2d6712c700"/>
      <w:r>
        <w:t xml:space="preserve">6.5.1 Specific computer security technical requirements</w:t>
      </w:r>
      <w:bookmarkEnd w:id="262"/>
    </w:p>
    <w:p>
      <w:pPr>
        <w:pStyle w:val="FirstParagraph"/>
      </w:pPr>
      <w:r>
        <w:t xml:space="preserve">The CA SHALL enforce multi-factor authentication for all accounts capable of directly causing certificate issuance.</w:t>
      </w:r>
    </w:p>
    <w:p>
      <w:pPr>
        <w:pStyle w:val="Heading3"/>
      </w:pPr>
      <w:bookmarkStart w:id="263" w:name="computer-security-rating"/>
      <w:r>
        <w:t xml:space="preserve">6.5.2 Computer security rating</w:t>
      </w:r>
      <w:bookmarkEnd w:id="263"/>
    </w:p>
    <w:p>
      <w:pPr>
        <w:pStyle w:val="Heading2"/>
      </w:pPr>
      <w:bookmarkStart w:id="264" w:name="life-cycle-technical-controls"/>
      <w:r>
        <w:t xml:space="preserve">6.6 Life cycle technical controls</w:t>
      </w:r>
      <w:bookmarkEnd w:id="264"/>
    </w:p>
    <w:p>
      <w:pPr>
        <w:pStyle w:val="Heading3"/>
      </w:pPr>
      <w:bookmarkStart w:id="265" w:name="system-development-controls"/>
      <w:r>
        <w:t xml:space="preserve">6.6.1 System development controls</w:t>
      </w:r>
      <w:bookmarkEnd w:id="265"/>
    </w:p>
    <w:p>
      <w:pPr>
        <w:pStyle w:val="Heading3"/>
      </w:pPr>
      <w:bookmarkStart w:id="266" w:name="security-management-controls"/>
      <w:r>
        <w:t xml:space="preserve">6.6.2 Security management controls</w:t>
      </w:r>
      <w:bookmarkEnd w:id="266"/>
    </w:p>
    <w:p>
      <w:pPr>
        <w:pStyle w:val="Heading3"/>
      </w:pPr>
      <w:bookmarkStart w:id="267" w:name="life-cycle-security-controls"/>
      <w:r>
        <w:t xml:space="preserve">6.6.3 Life cycle security controls</w:t>
      </w:r>
      <w:bookmarkEnd w:id="267"/>
    </w:p>
    <w:p>
      <w:pPr>
        <w:pStyle w:val="Heading2"/>
      </w:pPr>
      <w:bookmarkStart w:id="268" w:name="network-security-controls"/>
      <w:r>
        <w:t xml:space="preserve">6.7 Network security controls</w:t>
      </w:r>
      <w:bookmarkEnd w:id="268"/>
    </w:p>
    <w:p>
      <w:pPr>
        <w:pStyle w:val="Heading2"/>
      </w:pPr>
      <w:bookmarkStart w:id="269" w:name="time-stamping"/>
      <w:r>
        <w:t xml:space="preserve">6.8 Time-stamping</w:t>
      </w:r>
      <w:bookmarkEnd w:id="269"/>
    </w:p>
    <w:p>
      <w:pPr>
        <w:pStyle w:val="Heading1"/>
      </w:pPr>
      <w:bookmarkStart w:id="270" w:name="certificate-crl-and-ocsp-profiles"/>
      <w:r>
        <w:t xml:space="preserve">7. CERTIFICATE, CRL, AND OCSP PROFILES</w:t>
      </w:r>
      <w:bookmarkEnd w:id="270"/>
    </w:p>
    <w:p>
      <w:pPr>
        <w:pStyle w:val="Heading2"/>
      </w:pPr>
      <w:bookmarkStart w:id="271" w:name="certificate-profile"/>
      <w:r>
        <w:t xml:space="preserve">7.1 Certificate profile</w:t>
      </w:r>
      <w:bookmarkEnd w:id="271"/>
    </w:p>
    <w:p>
      <w:pPr>
        <w:pStyle w:val="FirstParagraph"/>
      </w:pPr>
      <w:r>
        <w:t xml:space="preserve">The CA SHALL meet the technical requirements set forth in Section 2.2 - Publication of Information, Section 6.1.5 - Key Sizes, and Section 6.1.6 - Public Key Parameters Generation and Quality Checking.</w:t>
      </w:r>
    </w:p>
    <w:p>
      <w:pPr>
        <w:pStyle w:val="BodyText"/>
      </w:pPr>
      <w:r>
        <w:t xml:space="preserve">CAs SHALL generate non-sequential Certificate serial numbers greater than zero (0) containing at least 64 bits of output from a CSPRNG.</w:t>
      </w:r>
    </w:p>
    <w:p>
      <w:pPr>
        <w:pStyle w:val="Heading3"/>
      </w:pPr>
      <w:bookmarkStart w:id="272" w:name="version-numbers"/>
      <w:r>
        <w:t xml:space="preserve">7.1.1 Version number(s)</w:t>
      </w:r>
      <w:bookmarkEnd w:id="272"/>
    </w:p>
    <w:p>
      <w:pPr>
        <w:pStyle w:val="FirstParagraph"/>
      </w:pPr>
      <w:r>
        <w:t xml:space="preserve">Certificates MUST be of type X.509 v3.</w:t>
      </w:r>
    </w:p>
    <w:p>
      <w:pPr>
        <w:pStyle w:val="Heading3"/>
      </w:pPr>
      <w:bookmarkStart w:id="273" w:name="Xb21916ecc71976a4799c5c95e52d8a2c4cd34c8"/>
      <w:r>
        <w:t xml:space="preserve">7.1.2 Certificate Content and Extensions; Application of RFC 5280</w:t>
      </w:r>
      <w:bookmarkEnd w:id="273"/>
    </w:p>
    <w:p>
      <w:pPr>
        <w:pStyle w:val="FirstParagraph"/>
      </w:pPr>
      <w:r>
        <w:t xml:space="preserve">This section specifies the additional requirements for Certificate content and extensions for Certificates.</w:t>
      </w:r>
    </w:p>
    <w:p>
      <w:pPr>
        <w:pStyle w:val="Heading4"/>
      </w:pPr>
      <w:bookmarkStart w:id="274" w:name="root-ca-certificate"/>
      <w:r>
        <w:t xml:space="preserve">7.1.2.1 Root CA Certificate</w:t>
      </w:r>
      <w:bookmarkEnd w:id="274"/>
    </w:p>
    <w:p>
      <w:pPr>
        <w:numPr>
          <w:ilvl w:val="0"/>
          <w:numId w:val="1035"/>
        </w:numPr>
      </w:pPr>
      <w:r>
        <w:rPr>
          <w:rStyle w:val="VerbatimChar"/>
        </w:rPr>
        <w:t xml:space="preserve">basicConstraints</w:t>
      </w:r>
    </w:p>
    <w:p>
      <w:pPr>
        <w:numPr>
          <w:ilvl w:val="0"/>
          <w:numId w:val="1000"/>
        </w:numPr>
      </w:pPr>
      <w:r>
        <w:t xml:space="preserve">This extension MUST appear as a critical extension. The cA field MUST be set true. The pathLenConstraint field SHOULD NOT be present.</w:t>
      </w:r>
    </w:p>
    <w:p>
      <w:pPr>
        <w:numPr>
          <w:ilvl w:val="0"/>
          <w:numId w:val="1035"/>
        </w:numPr>
      </w:pPr>
      <w:r>
        <w:rPr>
          <w:rStyle w:val="VerbatimChar"/>
        </w:rPr>
        <w:t xml:space="preserve">keyUsage</w:t>
      </w:r>
    </w:p>
    <w:p>
      <w:pPr>
        <w:numPr>
          <w:ilvl w:val="0"/>
          <w:numId w:val="1000"/>
        </w:numPr>
      </w:pPr>
      <w:r>
        <w:t xml:space="preserve">This extension MUST be present and MUST be marked critical. Bit positions for keyCertSign and cRLSign MUST be set. If the Root CA Private Key is used for signing OCSP responses, then the digitalSignature bit MUST be set.</w:t>
      </w:r>
    </w:p>
    <w:p>
      <w:pPr>
        <w:numPr>
          <w:ilvl w:val="0"/>
          <w:numId w:val="1035"/>
        </w:numPr>
      </w:pPr>
      <w:r>
        <w:rPr>
          <w:rStyle w:val="VerbatimChar"/>
        </w:rPr>
        <w:t xml:space="preserve">certificatePolicies</w:t>
      </w:r>
    </w:p>
    <w:p>
      <w:pPr>
        <w:numPr>
          <w:ilvl w:val="0"/>
          <w:numId w:val="1000"/>
        </w:numPr>
      </w:pPr>
      <w:r>
        <w:t xml:space="preserve">This extension SHOULD NOT be present.</w:t>
      </w:r>
    </w:p>
    <w:p>
      <w:pPr>
        <w:numPr>
          <w:ilvl w:val="0"/>
          <w:numId w:val="1035"/>
        </w:numPr>
      </w:pPr>
      <w:r>
        <w:rPr>
          <w:rStyle w:val="VerbatimChar"/>
        </w:rPr>
        <w:t xml:space="preserve">extendedKeyUsage</w:t>
      </w:r>
    </w:p>
    <w:p>
      <w:pPr>
        <w:numPr>
          <w:ilvl w:val="0"/>
          <w:numId w:val="1000"/>
        </w:numPr>
      </w:pPr>
      <w:r>
        <w:t xml:space="preserve">This extension MUST NOT be present.</w:t>
      </w:r>
    </w:p>
    <w:p>
      <w:pPr>
        <w:pStyle w:val="Heading4"/>
      </w:pPr>
      <w:bookmarkStart w:id="275" w:name="subordinate-ca-certificate"/>
      <w:r>
        <w:t xml:space="preserve">7.1.2.2 Subordinate CA Certificate</w:t>
      </w:r>
      <w:bookmarkEnd w:id="275"/>
    </w:p>
    <w:p>
      <w:pPr>
        <w:numPr>
          <w:ilvl w:val="0"/>
          <w:numId w:val="1036"/>
        </w:numPr>
      </w:pPr>
      <w:r>
        <w:rPr>
          <w:rStyle w:val="VerbatimChar"/>
        </w:rPr>
        <w:t xml:space="preserve">certificatePolicies</w:t>
      </w:r>
    </w:p>
    <w:p>
      <w:pPr>
        <w:numPr>
          <w:ilvl w:val="0"/>
          <w:numId w:val="1000"/>
        </w:numPr>
      </w:pPr>
      <w:r>
        <w:t xml:space="preserve">This extension MUST be present and SHOULD NOT be marked critical.</w:t>
      </w:r>
    </w:p>
    <w:p>
      <w:pPr>
        <w:numPr>
          <w:ilvl w:val="0"/>
          <w:numId w:val="1000"/>
        </w:numPr>
      </w:pPr>
      <w:r>
        <w:rPr>
          <w:rStyle w:val="VerbatimChar"/>
        </w:rPr>
        <w:t xml:space="preserve">certificatePolicies:policyIdentifier</w:t>
      </w:r>
      <w:r>
        <w:t xml:space="preserve"> </w:t>
      </w:r>
      <w:r>
        <w:t xml:space="preserve">(Required)</w:t>
      </w:r>
    </w:p>
    <w:p>
      <w:pPr>
        <w:numPr>
          <w:ilvl w:val="0"/>
          <w:numId w:val="1000"/>
        </w:numPr>
      </w:pPr>
      <w:r>
        <w:t xml:space="preserve">The following fields MAY be present if the Subordinate CA is not an Affiliate of the entity that controls the Root CA.</w:t>
      </w:r>
    </w:p>
    <w:p>
      <w:pPr>
        <w:numPr>
          <w:ilvl w:val="1"/>
          <w:numId w:val="1037"/>
        </w:numPr>
      </w:pPr>
      <w:r>
        <w:rPr>
          <w:rStyle w:val="VerbatimChar"/>
        </w:rPr>
        <w:t xml:space="preserve">certificatePolicies:policyQualifiers:policyQualifierId</w:t>
      </w:r>
      <w:r>
        <w:t xml:space="preserve"> </w:t>
      </w:r>
      <w:r>
        <w:t xml:space="preserve">(Optional)</w:t>
      </w:r>
    </w:p>
    <w:p>
      <w:pPr>
        <w:numPr>
          <w:ilvl w:val="1"/>
          <w:numId w:val="1000"/>
        </w:numPr>
      </w:pPr>
      <w:r>
        <w:t xml:space="preserve">id-qt 1 [RFC5280].</w:t>
      </w:r>
    </w:p>
    <w:p>
      <w:pPr>
        <w:numPr>
          <w:ilvl w:val="1"/>
          <w:numId w:val="1037"/>
        </w:numPr>
      </w:pPr>
      <w:r>
        <w:rPr>
          <w:rStyle w:val="VerbatimChar"/>
        </w:rPr>
        <w:t xml:space="preserve">certificatePolicies:policyQualifiers:qualifier:cPSuri</w:t>
      </w:r>
      <w:r>
        <w:t xml:space="preserve"> </w:t>
      </w:r>
      <w:r>
        <w:t xml:space="preserve">(Optional)</w:t>
      </w:r>
    </w:p>
    <w:p>
      <w:pPr>
        <w:numPr>
          <w:ilvl w:val="0"/>
          <w:numId w:val="1000"/>
        </w:numPr>
      </w:pPr>
      <w:r>
        <w:t xml:space="preserve">HTTP URL for the Root CA’s Certificate Policies, Certification Practice Statement, Relying Party Agreement, or other pointer to online policy information provided by the CA.</w:t>
      </w:r>
    </w:p>
    <w:p>
      <w:pPr>
        <w:numPr>
          <w:ilvl w:val="0"/>
          <w:numId w:val="1036"/>
        </w:numPr>
      </w:pPr>
      <w:r>
        <w:rPr>
          <w:rStyle w:val="VerbatimChar"/>
        </w:rPr>
        <w:t xml:space="preserve">cRLDistributionPoints</w:t>
      </w:r>
    </w:p>
    <w:p>
      <w:pPr>
        <w:numPr>
          <w:ilvl w:val="0"/>
          <w:numId w:val="1000"/>
        </w:numPr>
      </w:pPr>
      <w:r>
        <w:t xml:space="preserve">This extension MUST be present and MUST NOT be marked critical. It MUST contain the HTTP URL of the CA’s CRL service.</w:t>
      </w:r>
    </w:p>
    <w:p>
      <w:pPr>
        <w:numPr>
          <w:ilvl w:val="0"/>
          <w:numId w:val="1036"/>
        </w:numPr>
      </w:pPr>
      <w:r>
        <w:rPr>
          <w:rStyle w:val="VerbatimChar"/>
        </w:rPr>
        <w:t xml:space="preserve">authorityInformationAccess</w:t>
      </w:r>
    </w:p>
    <w:p>
      <w:pPr>
        <w:numPr>
          <w:ilvl w:val="0"/>
          <w:numId w:val="1000"/>
        </w:numPr>
      </w:pPr>
      <w:r>
        <w:t xml:space="preserve">With the exception of stapling, which is noted below, this extension MUST be present. It MUST NOT be marked critical, and it MUST contain the HTTP URL of the Issuing CA’s OCSP responder (</w:t>
      </w:r>
      <w:r>
        <w:rPr>
          <w:rStyle w:val="VerbatimChar"/>
        </w:rPr>
        <w:t xml:space="preserve">accessMethod</w:t>
      </w:r>
      <w:r>
        <w:t xml:space="preserve"> </w:t>
      </w:r>
      <w:r>
        <w:t xml:space="preserve">= 1.3.6.1.5.5.7.48.1). It SHOULD also contain the HTTP URL of the Issuing CA’s certificate (</w:t>
      </w:r>
      <w:r>
        <w:rPr>
          <w:rStyle w:val="VerbatimChar"/>
        </w:rPr>
        <w:t xml:space="preserve">accessMethod</w:t>
      </w:r>
      <w:r>
        <w:t xml:space="preserve"> </w:t>
      </w:r>
      <w:r>
        <w:t xml:space="preserve">= 1.3.6.1.5.5.7.48.2).</w:t>
      </w:r>
    </w:p>
    <w:p>
      <w:pPr>
        <w:numPr>
          <w:ilvl w:val="0"/>
          <w:numId w:val="1000"/>
        </w:numPr>
      </w:pPr>
      <w:r>
        <w:t xml:space="preserve">The HTTP URL of the Issuing CA’s OCSP responder MAY be omitted, provided that the Subscriber</w:t>
      </w:r>
      <w:r>
        <w:t xml:space="preserve"> </w:t>
      </w:r>
      <w:r>
        <w:t xml:space="preserve">“</w:t>
      </w:r>
      <w:r>
        <w:t xml:space="preserve">staples</w:t>
      </w:r>
      <w:r>
        <w:t xml:space="preserve">”</w:t>
      </w:r>
      <w:r>
        <w:t xml:space="preserve"> </w:t>
      </w:r>
      <w:r>
        <w:t xml:space="preserve">the OCSP response for the Certificate in its TLS handshakes [RFC4366].</w:t>
      </w:r>
    </w:p>
    <w:p>
      <w:pPr>
        <w:numPr>
          <w:ilvl w:val="0"/>
          <w:numId w:val="1036"/>
        </w:numPr>
      </w:pPr>
      <w:r>
        <w:rPr>
          <w:rStyle w:val="VerbatimChar"/>
        </w:rPr>
        <w:t xml:space="preserve">basicConstraints</w:t>
      </w:r>
    </w:p>
    <w:p>
      <w:pPr>
        <w:numPr>
          <w:ilvl w:val="0"/>
          <w:numId w:val="1000"/>
        </w:numPr>
      </w:pPr>
      <w:r>
        <w:t xml:space="preserve">This extension MUST be present and MUST be marked critical. The cA field MUST be set true. The pathLenConstraint field MAY be present.</w:t>
      </w:r>
    </w:p>
    <w:p>
      <w:pPr>
        <w:numPr>
          <w:ilvl w:val="0"/>
          <w:numId w:val="1036"/>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Subordinate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36"/>
        </w:numPr>
      </w:pPr>
      <w:r>
        <w:rPr>
          <w:rStyle w:val="VerbatimChar"/>
        </w:rPr>
        <w:t xml:space="preserve">nameConstraints</w:t>
      </w:r>
      <w:r>
        <w:t xml:space="preserve"> </w:t>
      </w:r>
      <w:r>
        <w:t xml:space="preserve">(optional)</w:t>
      </w:r>
    </w:p>
    <w:p>
      <w:pPr>
        <w:numPr>
          <w:ilvl w:val="0"/>
          <w:numId w:val="1000"/>
        </w:numPr>
      </w:pPr>
      <w:r>
        <w:t xml:space="preserve">If present, this extension SHOULD be marked critical</w:t>
      </w:r>
      <w:r>
        <w:rPr>
          <w:rStyle w:val="FootnoteReference"/>
        </w:rPr>
        <w:footnoteReference w:id="276"/>
      </w:r>
      <w:r>
        <w:t xml:space="preserve">.</w:t>
      </w:r>
    </w:p>
    <w:p>
      <w:pPr>
        <w:numPr>
          <w:ilvl w:val="0"/>
          <w:numId w:val="1038"/>
        </w:numPr>
      </w:pPr>
      <w:r>
        <w:rPr>
          <w:rStyle w:val="VerbatimChar"/>
        </w:rPr>
        <w:t xml:space="preserve">extkeyUsage</w:t>
      </w:r>
      <w:r>
        <w:t xml:space="preserve"> </w:t>
      </w:r>
      <w:r>
        <w:t xml:space="preserve">(optional)</w:t>
      </w:r>
    </w:p>
    <w:p>
      <w:pPr>
        <w:numPr>
          <w:ilvl w:val="0"/>
          <w:numId w:val="1000"/>
        </w:numPr>
      </w:pPr>
      <w:r>
        <w:t xml:space="preserve">For Subordinate CA Certificates to be Technically constrained in line with section 7.1.5, then either the value</w:t>
      </w:r>
      <w:r>
        <w:t xml:space="preserve"> </w:t>
      </w:r>
      <w:r>
        <w:rPr>
          <w:rStyle w:val="VerbatimChar"/>
        </w:rPr>
        <w:t xml:space="preserve">id-kp-serverAuth</w:t>
      </w:r>
      <w:r>
        <w:t xml:space="preserve"> </w:t>
      </w:r>
      <w:r>
        <w:t xml:space="preserve">[RFC5280] or</w:t>
      </w:r>
      <w:r>
        <w:t xml:space="preserve"> </w:t>
      </w:r>
      <w:r>
        <w:rPr>
          <w:rStyle w:val="VerbatimChar"/>
        </w:rPr>
        <w:t xml:space="preserve">id-kp-clientAuth</w:t>
      </w:r>
      <w:r>
        <w:t xml:space="preserve"> </w:t>
      </w:r>
      <w:r>
        <w:t xml:space="preserve">[RFC5280] or both values MUST be present</w:t>
      </w:r>
      <w:r>
        <w:rPr>
          <w:rStyle w:val="FootnoteReference"/>
        </w:rPr>
        <w:footnoteReference w:id="277"/>
      </w:r>
      <w:r>
        <w:t xml:space="preserve">.</w:t>
      </w:r>
    </w:p>
    <w:p>
      <w:pPr>
        <w:numPr>
          <w:ilvl w:val="0"/>
          <w:numId w:val="1000"/>
        </w:numPr>
      </w:pPr>
      <w:r>
        <w:t xml:space="preserve">Other values MAY be present.</w:t>
      </w:r>
    </w:p>
    <w:p>
      <w:pPr>
        <w:numPr>
          <w:ilvl w:val="0"/>
          <w:numId w:val="1000"/>
        </w:numPr>
      </w:pPr>
      <w:r>
        <w:t xml:space="preserve">If present, this extension SHOULD be marked non-critical.</w:t>
      </w:r>
    </w:p>
    <w:p>
      <w:pPr>
        <w:pStyle w:val="Heading4"/>
      </w:pPr>
      <w:bookmarkStart w:id="278" w:name="subscriber-certificate"/>
      <w:r>
        <w:t xml:space="preserve">7.1.2.3 Subscriber Certificate</w:t>
      </w:r>
      <w:bookmarkEnd w:id="278"/>
    </w:p>
    <w:p>
      <w:pPr>
        <w:numPr>
          <w:ilvl w:val="0"/>
          <w:numId w:val="1039"/>
        </w:numPr>
      </w:pPr>
      <w:r>
        <w:rPr>
          <w:rStyle w:val="VerbatimChar"/>
        </w:rPr>
        <w:t xml:space="preserve">certificatePolicies</w:t>
      </w:r>
    </w:p>
    <w:p>
      <w:pPr>
        <w:numPr>
          <w:ilvl w:val="0"/>
          <w:numId w:val="1000"/>
        </w:numPr>
      </w:pPr>
      <w:r>
        <w:t xml:space="preserve">This extension MUST be present and SHOULD NOT be marked critical.</w:t>
      </w:r>
    </w:p>
    <w:p>
      <w:pPr>
        <w:numPr>
          <w:ilvl w:val="1"/>
          <w:numId w:val="1040"/>
        </w:numPr>
      </w:pPr>
      <w:r>
        <w:rPr>
          <w:rStyle w:val="VerbatimChar"/>
        </w:rPr>
        <w:t xml:space="preserve">certificatePolicies:policyIdentifier</w:t>
      </w:r>
      <w:r>
        <w:t xml:space="preserve"> </w:t>
      </w:r>
      <w:r>
        <w:t xml:space="preserve">(Required)</w:t>
      </w:r>
    </w:p>
    <w:p>
      <w:pPr>
        <w:numPr>
          <w:ilvl w:val="1"/>
          <w:numId w:val="1000"/>
        </w:numPr>
      </w:pPr>
      <w:r>
        <w:t xml:space="preserve">A Policy Identifier, defined by the issuing CA, that indicates a Certificate Policy asserting the issuing CA’s adherence to and compliance with these Requirements.</w:t>
      </w:r>
    </w:p>
    <w:p>
      <w:pPr>
        <w:numPr>
          <w:ilvl w:val="0"/>
          <w:numId w:val="1000"/>
        </w:numPr>
      </w:pPr>
      <w:r>
        <w:t xml:space="preserve">The following extensions MAY be present:</w:t>
      </w:r>
    </w:p>
    <w:p>
      <w:pPr>
        <w:numPr>
          <w:ilvl w:val="1"/>
          <w:numId w:val="1041"/>
        </w:numPr>
      </w:pPr>
      <w:r>
        <w:rPr>
          <w:rStyle w:val="VerbatimChar"/>
        </w:rPr>
        <w:t xml:space="preserve">certificatePolicies:policyQualifiers:policyQualifierId</w:t>
      </w:r>
      <w:r>
        <w:t xml:space="preserve"> </w:t>
      </w:r>
      <w:r>
        <w:t xml:space="preserve">(Recommended)</w:t>
      </w:r>
    </w:p>
    <w:p>
      <w:pPr>
        <w:numPr>
          <w:ilvl w:val="1"/>
          <w:numId w:val="1000"/>
        </w:numPr>
      </w:pPr>
      <w:r>
        <w:t xml:space="preserve">id-qt 1 [RFC 5280].</w:t>
      </w:r>
    </w:p>
    <w:p>
      <w:pPr>
        <w:numPr>
          <w:ilvl w:val="1"/>
          <w:numId w:val="1041"/>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Subordinate CA’s Certification Practice Statement, Relying Party Agreement or other pointer to online information provided by the CA.</w:t>
      </w:r>
    </w:p>
    <w:p>
      <w:pPr>
        <w:numPr>
          <w:ilvl w:val="0"/>
          <w:numId w:val="1039"/>
        </w:numPr>
      </w:pPr>
      <w:r>
        <w:rPr>
          <w:rStyle w:val="VerbatimChar"/>
        </w:rPr>
        <w:t xml:space="preserve">cRLDistributionPoints</w:t>
      </w:r>
    </w:p>
    <w:p>
      <w:pPr>
        <w:numPr>
          <w:ilvl w:val="0"/>
          <w:numId w:val="1000"/>
        </w:numPr>
      </w:pPr>
      <w:r>
        <w:t xml:space="preserve">This extension MAY be present. If present, it MUST NOT be marked critical, and it MUST contain the HTTP URL of the CA’s CRL service.</w:t>
      </w:r>
    </w:p>
    <w:p>
      <w:pPr>
        <w:numPr>
          <w:ilvl w:val="0"/>
          <w:numId w:val="1039"/>
        </w:numPr>
      </w:pPr>
      <w:r>
        <w:rPr>
          <w:rStyle w:val="VerbatimChar"/>
        </w:rPr>
        <w:t xml:space="preserve">authorityInformationAccess</w:t>
      </w:r>
    </w:p>
    <w:p>
      <w:pPr>
        <w:numPr>
          <w:ilvl w:val="0"/>
          <w:numId w:val="1000"/>
        </w:numPr>
      </w:pPr>
      <w:r>
        <w:t xml:space="preserve">With the exception of stapling, which is noted below, this extension MUST be present. It MUST NOT be marked critical, and it MUST contain the HTTP URL of the Issuing CA’s OCSP responder (accessMethod = 1.3.6.1.5.5.7.48.1). It SHOULD also contain the HTTP URL of the Issuing CA’s certificate (accessMethod = 1.3.6.1.5.5.7.48.2).</w:t>
      </w:r>
    </w:p>
    <w:p>
      <w:pPr>
        <w:numPr>
          <w:ilvl w:val="0"/>
          <w:numId w:val="1000"/>
        </w:numPr>
      </w:pPr>
      <w:r>
        <w:t xml:space="preserve">The HTTP URL of the Issuing CA’s OCSP responder MAY be omitted provided that the Subscriber</w:t>
      </w:r>
      <w:r>
        <w:t xml:space="preserve"> </w:t>
      </w:r>
      <w:r>
        <w:t xml:space="preserve">“</w:t>
      </w:r>
      <w:r>
        <w:t xml:space="preserve">staples</w:t>
      </w:r>
      <w:r>
        <w:t xml:space="preserve">”</w:t>
      </w:r>
      <w:r>
        <w:t xml:space="preserve"> </w:t>
      </w:r>
      <w:r>
        <w:t xml:space="preserve">OCSP responses for the Certificate in its TLS handshakes [RFC4366].</w:t>
      </w:r>
    </w:p>
    <w:p>
      <w:pPr>
        <w:numPr>
          <w:ilvl w:val="0"/>
          <w:numId w:val="1039"/>
        </w:numPr>
      </w:pPr>
      <w:r>
        <w:rPr>
          <w:rStyle w:val="VerbatimChar"/>
        </w:rPr>
        <w:t xml:space="preserve">basicConstraints</w:t>
      </w:r>
      <w:r>
        <w:t xml:space="preserve"> </w:t>
      </w:r>
      <w:r>
        <w:t xml:space="preserve">(optional)</w:t>
      </w:r>
    </w:p>
    <w:p>
      <w:pPr>
        <w:numPr>
          <w:ilvl w:val="0"/>
          <w:numId w:val="1000"/>
        </w:numPr>
      </w:pPr>
      <w:r>
        <w:t xml:space="preserve">The cA field MUST NOT be true.</w:t>
      </w:r>
    </w:p>
    <w:p>
      <w:pPr>
        <w:numPr>
          <w:ilvl w:val="0"/>
          <w:numId w:val="1039"/>
        </w:numPr>
      </w:pPr>
      <w:r>
        <w:rPr>
          <w:rStyle w:val="VerbatimChar"/>
        </w:rPr>
        <w:t xml:space="preserve">keyUsage</w:t>
      </w:r>
      <w:r>
        <w:t xml:space="preserve"> </w:t>
      </w:r>
      <w:r>
        <w:t xml:space="preserve">(optional)</w:t>
      </w:r>
    </w:p>
    <w:p>
      <w:pPr>
        <w:numPr>
          <w:ilvl w:val="0"/>
          <w:numId w:val="1000"/>
        </w:numPr>
      </w:pPr>
      <w:r>
        <w:t xml:space="preserve">If present, bit positions for keyCertSign and cRLSign MUST NOT be set.</w:t>
      </w:r>
    </w:p>
    <w:p>
      <w:pPr>
        <w:numPr>
          <w:ilvl w:val="0"/>
          <w:numId w:val="1039"/>
        </w:numPr>
      </w:pPr>
      <w:r>
        <w:rPr>
          <w:rStyle w:val="VerbatimChar"/>
        </w:rPr>
        <w:t xml:space="preserve">extKeyUsage</w:t>
      </w:r>
      <w:r>
        <w:t xml:space="preserve"> </w:t>
      </w:r>
      <w:r>
        <w:t xml:space="preserve">(required)</w:t>
      </w:r>
    </w:p>
    <w:p>
      <w:pPr>
        <w:numPr>
          <w:ilvl w:val="0"/>
          <w:numId w:val="1000"/>
        </w:numPr>
      </w:pPr>
      <w:r>
        <w:t xml:space="preserve">Either the value</w:t>
      </w:r>
      <w:r>
        <w:t xml:space="preserve"> </w:t>
      </w:r>
      <w:r>
        <w:rPr>
          <w:rStyle w:val="VerbatimChar"/>
        </w:rPr>
        <w:t xml:space="preserve">id-kp-serverAuth</w:t>
      </w:r>
      <w:r>
        <w:t xml:space="preserve"> </w:t>
      </w:r>
      <w:r>
        <w:t xml:space="preserve">[RFC5280] or</w:t>
      </w:r>
      <w:r>
        <w:t xml:space="preserve"> </w:t>
      </w:r>
      <w:r>
        <w:rPr>
          <w:rStyle w:val="VerbatimChar"/>
        </w:rPr>
        <w:t xml:space="preserve">id-kp-clientAuth</w:t>
      </w:r>
      <w:r>
        <w:t xml:space="preserve"> </w:t>
      </w:r>
      <w:r>
        <w:t xml:space="preserve">[RFC5280] or both values MUST be present.</w:t>
      </w:r>
      <w:r>
        <w:t xml:space="preserve"> </w:t>
      </w:r>
      <w:r>
        <w:rPr>
          <w:rStyle w:val="VerbatimChar"/>
        </w:rPr>
        <w:t xml:space="preserve">id-kp-emailProtection</w:t>
      </w:r>
      <w:r>
        <w:t xml:space="preserve"> </w:t>
      </w:r>
      <w:r>
        <w:t xml:space="preserve">[RFC5280] MAY be present. Other values SHOULD NOT be present.</w:t>
      </w:r>
    </w:p>
    <w:p>
      <w:pPr>
        <w:pStyle w:val="Heading4"/>
      </w:pPr>
      <w:bookmarkStart w:id="279" w:name="all-certificates"/>
      <w:r>
        <w:t xml:space="preserve">7.1.2.4 All Certificates</w:t>
      </w:r>
      <w:bookmarkEnd w:id="279"/>
    </w:p>
    <w:p>
      <w:pPr>
        <w:pStyle w:val="FirstParagraph"/>
      </w:pPr>
      <w:r>
        <w:t xml:space="preserve">All other fields and extensions MUST be set in accordance with RFC 5280. The CA SHALL NOT issue a Certificate that contains a</w:t>
      </w:r>
      <w:r>
        <w:t xml:space="preserve"> </w:t>
      </w:r>
      <w:r>
        <w:rPr>
          <w:rStyle w:val="VerbatimChar"/>
        </w:rPr>
        <w:t xml:space="preserve">keyUsage</w:t>
      </w:r>
      <w:r>
        <w:t xml:space="preserve"> </w:t>
      </w:r>
      <w:r>
        <w:t xml:space="preserve">flag,</w:t>
      </w:r>
      <w:r>
        <w:t xml:space="preserve"> </w:t>
      </w:r>
      <w:r>
        <w:rPr>
          <w:rStyle w:val="VerbatimChar"/>
        </w:rPr>
        <w:t xml:space="preserve">extendedKeyUsage</w:t>
      </w:r>
      <w:r>
        <w:t xml:space="preserve"> </w:t>
      </w:r>
      <w:r>
        <w:t xml:space="preserve">value, Certificate extension, or other data not specified in section 7.1.2.1, 7.1.2.2, or 7.1.2.3 unless the CA is aware of a reason for including the data in the Certificate.</w:t>
      </w:r>
    </w:p>
    <w:p>
      <w:pPr>
        <w:pStyle w:val="BodyText"/>
      </w:pPr>
      <w:r>
        <w:t xml:space="preserve">CAs SHALL NOT issue a Certificate with:</w:t>
      </w:r>
    </w:p>
    <w:p>
      <w:pPr>
        <w:numPr>
          <w:ilvl w:val="0"/>
          <w:numId w:val="1042"/>
        </w:numPr>
      </w:pPr>
      <w:r>
        <w:t xml:space="preserve">Extensions that do not apply in the context of the public Internet (such as an extendedKeyUsage value for a service that is only valid in the context of a privately managed network), unless:</w:t>
      </w:r>
    </w:p>
    <w:p>
      <w:pPr>
        <w:numPr>
          <w:ilvl w:val="1"/>
          <w:numId w:val="1043"/>
        </w:numPr>
      </w:pPr>
      <w:r>
        <w:t xml:space="preserve">such value falls within an OID arc for which the Applicant demonstrates ownership, or</w:t>
      </w:r>
    </w:p>
    <w:p>
      <w:pPr>
        <w:numPr>
          <w:ilvl w:val="1"/>
          <w:numId w:val="1043"/>
        </w:numPr>
      </w:pPr>
      <w:r>
        <w:t xml:space="preserve">the Applicant can otherwise demonstrate the right to assert the data in a public context; or</w:t>
      </w:r>
    </w:p>
    <w:p>
      <w:pPr>
        <w:numPr>
          <w:ilvl w:val="0"/>
          <w:numId w:val="1042"/>
        </w:numPr>
      </w:pPr>
      <w:r>
        <w:t xml:space="preserve">semantics that, if included, will mislead a Relying Party about the certificate information verified by the CA (such as including extendedKeyUsage value for a smart card, where the CA is not able to verify that the corresponding Private Key is confined to such hardware due to remote issuance).</w:t>
      </w:r>
    </w:p>
    <w:p>
      <w:pPr>
        <w:pStyle w:val="Heading4"/>
      </w:pPr>
      <w:bookmarkStart w:id="280" w:name="application-of-rfc-5280"/>
      <w:r>
        <w:t xml:space="preserve">7.1.2.5 Application of RFC 5280</w:t>
      </w:r>
      <w:bookmarkEnd w:id="280"/>
    </w:p>
    <w:p>
      <w:pPr>
        <w:pStyle w:val="FirstParagraph"/>
      </w:pPr>
      <w:r>
        <w:t xml:space="preserve">For purposes of clarification, a Precertificate, as described in RFC 6962 - Certificate Transparency, shall not be considered to be a</w:t>
      </w:r>
      <w:r>
        <w:t xml:space="preserve"> </w:t>
      </w:r>
      <w:r>
        <w:t xml:space="preserve">“</w:t>
      </w:r>
      <w:r>
        <w:t xml:space="preserve">certificate</w:t>
      </w:r>
      <w:r>
        <w:t xml:space="preserve">”</w:t>
      </w:r>
      <w:r>
        <w:t xml:space="preserve"> </w:t>
      </w:r>
      <w:r>
        <w:t xml:space="preserve">subject to the requirements of RFC 5280 - Internet X.509 Public Key Infrastructure Certificate and Certificate Revocation List (CRL) Profile under these Baseline Requirements.</w:t>
      </w:r>
    </w:p>
    <w:p>
      <w:pPr>
        <w:pStyle w:val="Heading3"/>
      </w:pPr>
      <w:bookmarkStart w:id="281" w:name="algorithm-object-identifiers"/>
      <w:r>
        <w:t xml:space="preserve">7.1.3 Algorithm object identifiers</w:t>
      </w:r>
      <w:bookmarkEnd w:id="281"/>
    </w:p>
    <w:p>
      <w:pPr>
        <w:pStyle w:val="FirstParagraph"/>
      </w:pPr>
      <w:r>
        <w:t xml:space="preserve">CAs MUST NOT issue any Subscriber certificates or Subordinate CA certificates using the SHA-1 hash algorithm.</w:t>
      </w:r>
      <w:r>
        <w:t xml:space="preserve"> </w:t>
      </w:r>
      <w:r>
        <w:t xml:space="preserve">CAs MAY issue Root CA Certificates or Subordinate CA Certificates that are Cross Certificates using the SHA-1 hash algorithm.</w:t>
      </w:r>
    </w:p>
    <w:p>
      <w:pPr>
        <w:pStyle w:val="BodyText"/>
      </w:pPr>
      <w:r>
        <w:t xml:space="preserve">CAs MAY continue to use their existing SHA-1 Root Certificates.</w:t>
      </w:r>
    </w:p>
    <w:p>
      <w:pPr>
        <w:pStyle w:val="BodyText"/>
      </w:pPr>
      <w:r>
        <w:t xml:space="preserve">Subscriber certificates SHOULD NOT chain up to a SHA-1 Subordinate CA Certificate.</w:t>
      </w:r>
    </w:p>
    <w:p>
      <w:pPr>
        <w:pStyle w:val="Heading3"/>
      </w:pPr>
      <w:bookmarkStart w:id="282" w:name="name-forms"/>
      <w:r>
        <w:t xml:space="preserve">7.1.4 Name Forms</w:t>
      </w:r>
      <w:bookmarkEnd w:id="282"/>
    </w:p>
    <w:p>
      <w:pPr>
        <w:pStyle w:val="Heading4"/>
      </w:pPr>
      <w:bookmarkStart w:id="283" w:name="issuer-information"/>
      <w:r>
        <w:t xml:space="preserve">7.1.4.1 Issuer Information</w:t>
      </w:r>
      <w:bookmarkEnd w:id="283"/>
    </w:p>
    <w:p>
      <w:pPr>
        <w:pStyle w:val="FirstParagraph"/>
      </w:pPr>
      <w:r>
        <w:t xml:space="preserve">The content of the Certificate Issuer Distinguished Name field MUST match the Subject DN of the Issuing CA to support Name chaining as specified in RFC 5280, section 4.1.2.4.</w:t>
      </w:r>
    </w:p>
    <w:p>
      <w:pPr>
        <w:pStyle w:val="Heading4"/>
      </w:pPr>
      <w:bookmarkStart w:id="284" w:name="X8bb29335a01da26543751c85b51c4ee3904c46f"/>
      <w:r>
        <w:t xml:space="preserve">7.1.4.2 Subject Information - Subscriber Certificates</w:t>
      </w:r>
      <w:bookmarkEnd w:id="284"/>
    </w:p>
    <w:p>
      <w:pPr>
        <w:pStyle w:val="FirstParagraph"/>
      </w:pPr>
      <w:r>
        <w:t xml:space="preserve">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 or IP Address in a Subject attribute except as specified in Section 3.2.2.4 or Section 3.2.2.5.</w:t>
      </w:r>
    </w:p>
    <w:p>
      <w:pPr>
        <w:pStyle w:val="BodyText"/>
      </w:pPr>
      <w:r>
        <w:t xml:space="preserve">Subject 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p>
      <w:pPr>
        <w:pStyle w:val="Heading4"/>
      </w:pPr>
      <w:bookmarkStart w:id="285" w:name="subject-alternative-name-extension"/>
      <w:r>
        <w:t xml:space="preserve">7.1.4.2.1 Subject Alternative Name Extension</w:t>
      </w:r>
      <w:bookmarkEnd w:id="285"/>
    </w:p>
    <w:p>
      <w:pPr>
        <w:pStyle w:val="FirstParagraph"/>
      </w:pPr>
      <w:r>
        <w:rPr>
          <w:b/>
        </w:rPr>
        <w:t xml:space="preserve">Certificate Field:</w:t>
      </w:r>
      <w:r>
        <w:t xml:space="preserve"> </w:t>
      </w:r>
      <w:r>
        <w:rPr>
          <w:rStyle w:val="VerbatimChar"/>
        </w:rPr>
        <w:t xml:space="preserve">extensions:subjectAltName</w:t>
      </w:r>
      <w:r>
        <w:br/>
      </w:r>
      <w:r>
        <w:rPr>
          <w:b/>
        </w:rPr>
        <w:t xml:space="preserve">Required/Optional:</w:t>
      </w:r>
      <w:r>
        <w:t xml:space="preserve"> </w:t>
      </w:r>
      <w:r>
        <w:t xml:space="preserve">Required</w:t>
      </w:r>
      <w:r>
        <w:br/>
      </w:r>
      <w:r>
        <w:rPr>
          <w:b/>
        </w:rPr>
        <w:t xml:space="preserve">Contents:</w:t>
      </w:r>
      <w:r>
        <w:t xml:space="preserve"> </w:t>
      </w:r>
      <w:r>
        <w:t xml:space="preserve">This extension MUST contain at least one entry. Each entry MUST be either a dNSName containing the Fully-Qualified Domain Name or an iPAddress containing the IP address of a server. The CA MUST confirm that the Applicant controls the Fully-Qualified Domain Name or IP address or has been granted the right to use it by the Domain Name Registrant or IP address assignee, as appropriate.</w:t>
      </w:r>
    </w:p>
    <w:p>
      <w:pPr>
        <w:pStyle w:val="BodyText"/>
      </w:pPr>
      <w:r>
        <w:t xml:space="preserve">Wildcard FQDNs are permitted.</w:t>
      </w:r>
    </w:p>
    <w:p>
      <w:pPr>
        <w:pStyle w:val="BodyText"/>
      </w:pPr>
      <w:r>
        <w:t xml:space="preserve">CAs SHALL NOT issue certificates with a subjectAlternativeName extension or Subject commonName field containing a Reserved IP Address or Internal Name.</w:t>
      </w:r>
    </w:p>
    <w:p>
      <w:pPr>
        <w:pStyle w:val="BodyText"/>
      </w:pPr>
      <w:r>
        <w:t xml:space="preserve">Entries in the dNSName MUST be in the</w:t>
      </w:r>
      <w:r>
        <w:t xml:space="preserve"> </w:t>
      </w:r>
      <w:r>
        <w:t xml:space="preserve">“</w:t>
      </w:r>
      <w:r>
        <w:t xml:space="preserve">preferred name syntax</w:t>
      </w:r>
      <w:r>
        <w:t xml:space="preserve">”</w:t>
      </w:r>
      <w:r>
        <w:t xml:space="preserve">, as specified in RFC 5280, and thus MUST NOT contain underscore characters ("_").</w:t>
      </w:r>
    </w:p>
    <w:p>
      <w:pPr>
        <w:pStyle w:val="Heading4"/>
      </w:pPr>
      <w:bookmarkStart w:id="286" w:name="subject-distinguished-name-fields"/>
      <w:r>
        <w:t xml:space="preserve">7.1.4.2.2. Subject Distinguished Name Fields</w:t>
      </w:r>
      <w:bookmarkEnd w:id="286"/>
    </w:p>
    <w:p>
      <w:pPr>
        <w:numPr>
          <w:ilvl w:val="0"/>
          <w:numId w:val="1044"/>
        </w:numPr>
      </w:pPr>
      <w:r>
        <w:rPr>
          <w:b/>
        </w:rPr>
        <w:t xml:space="preserve">Certificate Field:</w:t>
      </w:r>
      <w:r>
        <w:t xml:space="preserve"> </w:t>
      </w:r>
      <w:r>
        <w:rPr>
          <w:rStyle w:val="VerbatimChar"/>
        </w:rPr>
        <w:t xml:space="preserve">subject:commonName</w:t>
      </w:r>
      <w:r>
        <w:t xml:space="preserve"> </w:t>
      </w:r>
      <w:r>
        <w:t xml:space="preserve">(OID 2.5.4.3)</w:t>
      </w:r>
      <w:r>
        <w:br/>
      </w:r>
      <w:r>
        <w:rPr>
          <w:b/>
        </w:rPr>
        <w:t xml:space="preserve">Required/Optional:</w:t>
      </w:r>
      <w:r>
        <w:t xml:space="preserve"> </w:t>
      </w:r>
      <w:r>
        <w:rPr>
          <w:b/>
        </w:rPr>
        <w:t xml:space="preserve">Deprecated</w:t>
      </w:r>
      <w:r>
        <w:t xml:space="preserve"> </w:t>
      </w:r>
      <w:r>
        <w:t xml:space="preserve">(Discouraged, but not prohibited)</w:t>
      </w:r>
      <w:r>
        <w:br/>
      </w:r>
      <w:r>
        <w:rPr>
          <w:b/>
        </w:rPr>
        <w:t xml:space="preserve">Contents:</w:t>
      </w:r>
      <w:r>
        <w:t xml:space="preserve"> </w:t>
      </w:r>
      <w:r>
        <w:t xml:space="preserve">If present, this field MUST contain a single IP address or Fully-Qualified Domain Name that is one of the values contained in the Certificate’s subjectAltName extension (see Section 7.1.4.2.1).</w:t>
      </w:r>
    </w:p>
    <w:p>
      <w:pPr>
        <w:numPr>
          <w:ilvl w:val="0"/>
          <w:numId w:val="1044"/>
        </w:numPr>
      </w:pPr>
      <w:r>
        <w:rPr>
          <w:b/>
        </w:rPr>
        <w:t xml:space="preserve">Certificate Field:</w:t>
      </w:r>
      <w:r>
        <w:t xml:space="preserve"> </w:t>
      </w:r>
      <w:r>
        <w:rPr>
          <w:rStyle w:val="VerbatimChar"/>
        </w:rPr>
        <w:t xml:space="preserve">subject:organizationName</w:t>
      </w:r>
      <w:r>
        <w:t xml:space="preserve"> </w:t>
      </w:r>
      <w:r>
        <w:t xml:space="preserve">(OID 2.5.4.10)</w:t>
      </w:r>
      <w:r>
        <w:br/>
      </w:r>
      <w:r>
        <w:rPr>
          <w:b/>
        </w:rPr>
        <w:t xml:space="preserve">Required/Optional:</w:t>
      </w:r>
      <w:r>
        <w:t xml:space="preserve"> </w:t>
      </w:r>
      <w:r>
        <w:rPr>
          <w:b/>
        </w:rPr>
        <w:t xml:space="preserve">Optional</w:t>
      </w:r>
      <w:r>
        <w:t xml:space="preserve">.</w:t>
      </w:r>
      <w:r>
        <w:br/>
      </w:r>
      <w:r>
        <w:rPr>
          <w:b/>
        </w:rPr>
        <w:t xml:space="preserve">Contents:</w:t>
      </w:r>
      <w:r>
        <w:t xml:space="preserve"> </w:t>
      </w:r>
      <w:r>
        <w:t xml:space="preserve">If present, the</w:t>
      </w:r>
      <w:r>
        <w:t xml:space="preserve"> </w:t>
      </w:r>
      <w:r>
        <w:rPr>
          <w:rStyle w:val="VerbatimChar"/>
        </w:rPr>
        <w:t xml:space="preserve">subject:organizationName</w:t>
      </w:r>
      <w:r>
        <w:t xml:space="preserve"> </w:t>
      </w:r>
      <w:r>
        <w:t xml:space="preserve">field MUST contain either the Subject’s name or DBA as verified under Section 3.2.2.2.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 Because Subject name attributes for individuals (e.g. givenName (2.5.4.42) and surname (2.5.4.4)) are not broadly supported by application software, the CA MAY use the</w:t>
      </w:r>
      <w:r>
        <w:t xml:space="preserve"> </w:t>
      </w:r>
      <w:r>
        <w:rPr>
          <w:rStyle w:val="VerbatimChar"/>
        </w:rPr>
        <w:t xml:space="preserve">subject:organizationName</w:t>
      </w:r>
      <w:r>
        <w:t xml:space="preserve"> </w:t>
      </w:r>
      <w:r>
        <w:t xml:space="preserve">field to convey a natural person Subject’s name or DBA.</w:t>
      </w:r>
    </w:p>
    <w:p>
      <w:pPr>
        <w:numPr>
          <w:ilvl w:val="0"/>
          <w:numId w:val="1044"/>
        </w:numPr>
      </w:pPr>
      <w:r>
        <w:rPr>
          <w:b/>
        </w:rPr>
        <w:t xml:space="preserve">Certificate Field:</w:t>
      </w:r>
      <w:r>
        <w:t xml:space="preserve"> </w:t>
      </w:r>
      <w:r>
        <w:rPr>
          <w:rStyle w:val="VerbatimChar"/>
        </w:rPr>
        <w:t xml:space="preserve">subject:givenName</w:t>
      </w:r>
      <w:r>
        <w:t xml:space="preserve"> </w:t>
      </w:r>
      <w:r>
        <w:t xml:space="preserve">(2.5.4.42) and</w:t>
      </w:r>
      <w:r>
        <w:t xml:space="preserve"> </w:t>
      </w:r>
      <w:r>
        <w:rPr>
          <w:rStyle w:val="VerbatimChar"/>
        </w:rPr>
        <w:t xml:space="preserve">subject:surname</w:t>
      </w:r>
      <w:r>
        <w:t xml:space="preserve"> </w:t>
      </w:r>
      <w:r>
        <w:t xml:space="preserve">(2.5.4.4)</w:t>
      </w:r>
      <w:r>
        <w:br/>
      </w:r>
      <w:r>
        <w:rPr>
          <w:b/>
        </w:rPr>
        <w:t xml:space="preserve">Required/Optional:</w:t>
      </w:r>
      <w:r>
        <w:t xml:space="preserve"> </w:t>
      </w:r>
      <w:r>
        <w:rPr>
          <w:b/>
        </w:rPr>
        <w:t xml:space="preserve">Optional</w:t>
      </w:r>
      <w:r>
        <w:t xml:space="preserve">.</w:t>
      </w:r>
      <w:r>
        <w:br/>
      </w:r>
      <w:r>
        <w:rPr>
          <w:b/>
        </w:rPr>
        <w:t xml:space="preserve">Contents:</w:t>
      </w:r>
      <w:r>
        <w:t xml:space="preserve"> </w:t>
      </w:r>
      <w:r>
        <w:t xml:space="preserve">If present, the</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MUST contain an natural person Subject’s name as verified under Section 3.2.3. A Certificate containing a</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MUST contain the (2.23.140.1.2.3) Certificate Policy OID.</w:t>
      </w:r>
    </w:p>
    <w:p>
      <w:pPr>
        <w:numPr>
          <w:ilvl w:val="0"/>
          <w:numId w:val="1044"/>
        </w:numPr>
      </w:pPr>
      <w:r>
        <w:rPr>
          <w:b/>
        </w:rPr>
        <w:t xml:space="preserve">Certificate Field:</w:t>
      </w:r>
      <w:r>
        <w:t xml:space="preserve"> </w:t>
      </w:r>
      <w:r>
        <w:t xml:space="preserve">Number and street:</w:t>
      </w:r>
      <w:r>
        <w:t xml:space="preserve"> </w:t>
      </w:r>
      <w:r>
        <w:rPr>
          <w:rStyle w:val="VerbatimChar"/>
        </w:rPr>
        <w:t xml:space="preserve">subject:streetAddress</w:t>
      </w:r>
      <w:r>
        <w:t xml:space="preserve"> </w:t>
      </w:r>
      <w:r>
        <w:t xml:space="preserve">(OID: 2.5.4.9)</w:t>
      </w:r>
      <w:r>
        <w:br/>
      </w:r>
      <w:r>
        <w:rPr>
          <w:b/>
        </w:rPr>
        <w:t xml:space="preserve">Required/Optional:</w:t>
      </w:r>
      <w:r>
        <w:br/>
      </w:r>
      <w:r>
        <w:rPr>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
        </w:rPr>
        <w:t xml:space="preserve">Contents:</w:t>
      </w:r>
      <w:r>
        <w:t xml:space="preserve"> </w:t>
      </w:r>
      <w:r>
        <w:t xml:space="preserve">If present, the</w:t>
      </w:r>
      <w:r>
        <w:t xml:space="preserve"> </w:t>
      </w:r>
      <w:r>
        <w:rPr>
          <w:rStyle w:val="VerbatimChar"/>
        </w:rPr>
        <w:t xml:space="preserve">subject:streetAddress</w:t>
      </w:r>
      <w:r>
        <w:t xml:space="preserve"> </w:t>
      </w:r>
      <w:r>
        <w:t xml:space="preserve">field MUST contain the Subject’s street address information as verified under Section 3.2.2.1.</w:t>
      </w:r>
    </w:p>
    <w:p>
      <w:pPr>
        <w:numPr>
          <w:ilvl w:val="0"/>
          <w:numId w:val="1044"/>
        </w:numPr>
      </w:pPr>
      <w:r>
        <w:rPr>
          <w:b/>
        </w:rPr>
        <w:t xml:space="preserve">Certificate Field:</w:t>
      </w:r>
      <w:r>
        <w:t xml:space="preserve"> </w:t>
      </w:r>
      <w:r>
        <w:rPr>
          <w:rStyle w:val="VerbatimChar"/>
        </w:rPr>
        <w:t xml:space="preserve">subject:localityName</w:t>
      </w:r>
      <w:r>
        <w:t xml:space="preserve"> </w:t>
      </w:r>
      <w:r>
        <w:t xml:space="preserve">(OID: 2.5.4.7)</w:t>
      </w:r>
      <w:r>
        <w:br/>
      </w:r>
      <w:r>
        <w:rPr>
          <w:b/>
        </w:rPr>
        <w:t xml:space="preserve">Required/Optional:</w:t>
      </w:r>
      <w:r>
        <w:br/>
      </w:r>
      <w:r>
        <w:rPr>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 the</w:t>
      </w:r>
      <w:r>
        <w:t xml:space="preserve"> </w:t>
      </w:r>
      <w:r>
        <w:rPr>
          <w:rStyle w:val="VerbatimChar"/>
        </w:rPr>
        <w:t xml:space="preserve">subject:stateOrProvinceName</w:t>
      </w:r>
      <w:r>
        <w:t xml:space="preserve"> </w:t>
      </w:r>
      <w:r>
        <w:t xml:space="preserve">field is absent.</w:t>
      </w:r>
      <w:r>
        <w:br/>
      </w:r>
      <w:r>
        <w:rPr>
          <w:b/>
        </w:rPr>
        <w:t xml:space="preserve">Optional</w:t>
      </w:r>
      <w:r>
        <w:t xml:space="preserve"> </w:t>
      </w:r>
      <w:r>
        <w:t xml:space="preserve">if the</w:t>
      </w:r>
      <w:r>
        <w:t xml:space="preserve"> </w:t>
      </w:r>
      <w:r>
        <w:rPr>
          <w:rStyle w:val="VerbatimChar"/>
        </w:rPr>
        <w:t xml:space="preserve">subject:stateOrProvinceName</w:t>
      </w:r>
      <w:r>
        <w:t xml:space="preserve"> </w:t>
      </w:r>
      <w:r>
        <w:t xml:space="preserve">field and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
        </w:rPr>
        <w:t xml:space="preserve">Contents:</w:t>
      </w:r>
      <w:r>
        <w:t xml:space="preserve"> </w:t>
      </w:r>
      <w:r>
        <w:t xml:space="preserve">If present, the</w:t>
      </w:r>
      <w:r>
        <w:t xml:space="preserve"> </w:t>
      </w:r>
      <w:r>
        <w:rPr>
          <w:rStyle w:val="VerbatimChar"/>
        </w:rPr>
        <w:t xml:space="preserve">subject:localityName</w:t>
      </w:r>
      <w:r>
        <w:t xml:space="preserve"> </w:t>
      </w:r>
      <w:r>
        <w:t xml:space="preserve">field MUST contain the Subject’s locality information as verified under Section 3.2.2.1. If the</w:t>
      </w:r>
      <w:r>
        <w:t xml:space="preserve"> </w:t>
      </w:r>
      <w:r>
        <w:rPr>
          <w:rStyle w:val="VerbatimChar"/>
        </w:rPr>
        <w:t xml:space="preserve">subject:countryName</w:t>
      </w:r>
      <w:r>
        <w:t xml:space="preserve"> </w:t>
      </w:r>
      <w:r>
        <w:t xml:space="preserve">field specifies the ISO 3166-1 user-assigned code of XX in accordance with Section 7.1.4.2.2(g), the</w:t>
      </w:r>
      <w:r>
        <w:t xml:space="preserve"> </w:t>
      </w:r>
      <w:r>
        <w:rPr>
          <w:rStyle w:val="VerbatimChar"/>
        </w:rPr>
        <w:t xml:space="preserve">localityName</w:t>
      </w:r>
      <w:r>
        <w:t xml:space="preserve"> </w:t>
      </w:r>
      <w:r>
        <w:t xml:space="preserve">field MAY contain the Subject’s locality and/or state or province information as verified under Section 3.2.2.1.</w:t>
      </w:r>
    </w:p>
    <w:p>
      <w:pPr>
        <w:numPr>
          <w:ilvl w:val="0"/>
          <w:numId w:val="1044"/>
        </w:numPr>
      </w:pPr>
      <w:r>
        <w:rPr>
          <w:b/>
        </w:rPr>
        <w:t xml:space="preserve">Certificate Field:</w:t>
      </w:r>
      <w:r>
        <w:t xml:space="preserve"> </w:t>
      </w:r>
      <w:r>
        <w:rPr>
          <w:rStyle w:val="VerbatimChar"/>
        </w:rPr>
        <w:t xml:space="preserve">subject:stateOrProvinceName</w:t>
      </w:r>
      <w:r>
        <w:t xml:space="preserve"> </w:t>
      </w:r>
      <w:r>
        <w:t xml:space="preserve">(OID: 2.5.4.8)</w:t>
      </w:r>
      <w:r>
        <w:br/>
      </w:r>
      <w:r>
        <w:rPr>
          <w:b/>
        </w:rPr>
        <w:t xml:space="preserve">Required/Optional:</w:t>
      </w:r>
      <w:r>
        <w:br/>
      </w:r>
      <w:r>
        <w:rPr>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w:t>
      </w:r>
      <w:r>
        <w:t xml:space="preserve"> </w:t>
      </w:r>
      <w:r>
        <w:rPr>
          <w:rStyle w:val="VerbatimChar"/>
        </w:rPr>
        <w:t xml:space="preserve">subject:localityName</w:t>
      </w:r>
      <w:r>
        <w:t xml:space="preserve"> </w:t>
      </w:r>
      <w:r>
        <w:t xml:space="preserve">field is absent.</w:t>
      </w:r>
      <w:r>
        <w:br/>
      </w:r>
      <w:r>
        <w:rPr>
          <w:b/>
        </w:rPr>
        <w:t xml:space="preserve">Optional</w:t>
      </w:r>
      <w:r>
        <w:t xml:space="preserve"> </w:t>
      </w:r>
      <w:r>
        <w:t xml:space="preserve">if the</w:t>
      </w:r>
      <w:r>
        <w:t xml:space="preserve"> </w:t>
      </w:r>
      <w:r>
        <w:rPr>
          <w:rStyle w:val="VerbatimChar"/>
        </w:rPr>
        <w:t xml:space="preserve">subject:localityName</w:t>
      </w:r>
      <w:r>
        <w:t xml:space="preserve"> </w:t>
      </w:r>
      <w:r>
        <w:t xml:space="preserve">field and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 the</w:t>
      </w:r>
      <w:r>
        <w:t xml:space="preserve"> </w:t>
      </w:r>
      <w:r>
        <w:rPr>
          <w:rStyle w:val="VerbatimChar"/>
        </w:rPr>
        <w:t xml:space="preserve">subject:surname</w:t>
      </w:r>
      <w:r>
        <w:t xml:space="preserve"> </w:t>
      </w:r>
      <w:r>
        <w:t xml:space="preserve">field are present.</w:t>
      </w:r>
      <w:r>
        <w:br/>
      </w:r>
      <w:r>
        <w:rPr>
          <w:b/>
        </w:rPr>
        <w:t xml:space="preserve">Prohibited</w:t>
      </w:r>
      <w:r>
        <w:t xml:space="preserve"> </w:t>
      </w:r>
      <w:r>
        <w:t xml:space="preserve">if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
        </w:rPr>
        <w:t xml:space="preserve">Contents:</w:t>
      </w:r>
      <w:r>
        <w:t xml:space="preserve"> </w:t>
      </w:r>
      <w:r>
        <w:t xml:space="preserve">If present, the</w:t>
      </w:r>
      <w:r>
        <w:t xml:space="preserve"> </w:t>
      </w:r>
      <w:r>
        <w:rPr>
          <w:rStyle w:val="VerbatimChar"/>
        </w:rPr>
        <w:t xml:space="preserve">subject:stateOrProvinceName</w:t>
      </w:r>
      <w:r>
        <w:t xml:space="preserve"> </w:t>
      </w:r>
      <w:r>
        <w:t xml:space="preserve">field MUST contain the Subject’s state or province information as verified under Section 3.2.2.1. If the</w:t>
      </w:r>
      <w:r>
        <w:t xml:space="preserve"> </w:t>
      </w:r>
      <w:r>
        <w:rPr>
          <w:rStyle w:val="VerbatimChar"/>
        </w:rPr>
        <w:t xml:space="preserve">subject:countryName</w:t>
      </w:r>
      <w:r>
        <w:t xml:space="preserve"> </w:t>
      </w:r>
      <w:r>
        <w:t xml:space="preserve">field specifies the ISO 3166-1 user-assigned code of XX in accordance with Section 7.1.4.2.2(g), the</w:t>
      </w:r>
      <w:r>
        <w:t xml:space="preserve"> </w:t>
      </w:r>
      <w:r>
        <w:rPr>
          <w:rStyle w:val="VerbatimChar"/>
        </w:rPr>
        <w:t xml:space="preserve">subject:stateOrProvinceName</w:t>
      </w:r>
      <w:r>
        <w:t xml:space="preserve"> </w:t>
      </w:r>
      <w:r>
        <w:t xml:space="preserve">field MAY contain the full name of the Subject’s country information as verified under Section 3.2.2.1.</w:t>
      </w:r>
    </w:p>
    <w:p>
      <w:pPr>
        <w:numPr>
          <w:ilvl w:val="0"/>
          <w:numId w:val="1044"/>
        </w:numPr>
      </w:pPr>
      <w:r>
        <w:rPr>
          <w:b/>
        </w:rPr>
        <w:t xml:space="preserve">Certificate Field:</w:t>
      </w:r>
      <w:r>
        <w:t xml:space="preserve"> </w:t>
      </w:r>
      <w:r>
        <w:rPr>
          <w:rStyle w:val="VerbatimChar"/>
        </w:rPr>
        <w:t xml:space="preserve">subject:postalCode</w:t>
      </w:r>
      <w:r>
        <w:t xml:space="preserve"> </w:t>
      </w:r>
      <w:r>
        <w:t xml:space="preserve">(OID: 2.5.4.17)</w:t>
      </w:r>
      <w:r>
        <w:br/>
      </w:r>
      <w:r>
        <w:rPr>
          <w:b/>
        </w:rPr>
        <w:t xml:space="preserve">Required/Optional:</w:t>
      </w:r>
      <w:r>
        <w:br/>
      </w:r>
      <w:r>
        <w:rPr>
          <w:b/>
        </w:rPr>
        <w:t xml:space="preserve">Optional</w:t>
      </w:r>
      <w:r>
        <w:t xml:space="preserve"> </w:t>
      </w:r>
      <w:r>
        <w:t xml:space="preserve">if the</w:t>
      </w:r>
      <w:r>
        <w:t xml:space="preserve"> </w:t>
      </w:r>
      <w:r>
        <w:rPr>
          <w:rStyle w:val="VerbatimChar"/>
        </w:rPr>
        <w:t xml:space="preserve">subject:organizationName</w:t>
      </w:r>
      <w:r>
        <w:t xml:space="preserv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fields are present.</w:t>
      </w:r>
      <w:r>
        <w:br/>
      </w:r>
      <w:r>
        <w:rPr>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
        </w:rPr>
        <w:t xml:space="preserve">Contents:</w:t>
      </w:r>
      <w:r>
        <w:t xml:space="preserve"> </w:t>
      </w:r>
      <w:r>
        <w:t xml:space="preserve">If present, the</w:t>
      </w:r>
      <w:r>
        <w:t xml:space="preserve"> </w:t>
      </w:r>
      <w:r>
        <w:rPr>
          <w:rStyle w:val="VerbatimChar"/>
        </w:rPr>
        <w:t xml:space="preserve">subject:postalCode</w:t>
      </w:r>
      <w:r>
        <w:t xml:space="preserve"> </w:t>
      </w:r>
      <w:r>
        <w:t xml:space="preserve">field MUST contain the Subject’s zip or postal information as verified under Section 3.2.2.1.</w:t>
      </w:r>
    </w:p>
    <w:p>
      <w:pPr>
        <w:numPr>
          <w:ilvl w:val="0"/>
          <w:numId w:val="1044"/>
        </w:numPr>
      </w:pPr>
      <w:r>
        <w:rPr>
          <w:b/>
        </w:rPr>
        <w:t xml:space="preserve">Certificate Field:</w:t>
      </w:r>
      <w:r>
        <w:t xml:space="preserve"> </w:t>
      </w:r>
      <w:r>
        <w:rPr>
          <w:rStyle w:val="VerbatimChar"/>
        </w:rPr>
        <w:t xml:space="preserve">subject:countryName</w:t>
      </w:r>
      <w:r>
        <w:t xml:space="preserve"> </w:t>
      </w:r>
      <w:r>
        <w:t xml:space="preserve">(OID: 2.5.4.6)</w:t>
      </w:r>
      <w:r>
        <w:br/>
      </w:r>
      <w:r>
        <w:rPr>
          <w:b/>
        </w:rPr>
        <w:t xml:space="preserve">Required/Optional:</w:t>
      </w:r>
      <w:r>
        <w:br/>
      </w:r>
      <w:r>
        <w:rPr>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or</w:t>
      </w:r>
      <w:r>
        <w:t xml:space="preserve"> </w:t>
      </w:r>
      <w:r>
        <w:rPr>
          <w:rStyle w:val="VerbatimChar"/>
        </w:rPr>
        <w:t xml:space="preserve">subject:surname</w:t>
      </w:r>
      <w:r>
        <w:t xml:space="preserve"> </w:t>
      </w:r>
      <w:r>
        <w:t xml:space="preserve">field are present.</w:t>
      </w:r>
      <w:r>
        <w:br/>
      </w:r>
      <w:r>
        <w:rPr>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are absent.</w:t>
      </w:r>
      <w:r>
        <w:br/>
      </w:r>
      <w:r>
        <w:rPr>
          <w:b/>
        </w:rPr>
        <w:t xml:space="preserve">Contents:</w:t>
      </w:r>
      <w:r>
        <w:t xml:space="preserve"> </w:t>
      </w:r>
      <w:r>
        <w:t xml:space="preserve">If the</w:t>
      </w:r>
      <w:r>
        <w:t xml:space="preserve"> </w:t>
      </w:r>
      <w:r>
        <w:rPr>
          <w:rStyle w:val="VerbatimChar"/>
        </w:rPr>
        <w:t xml:space="preserve">subject:organizationName</w:t>
      </w:r>
      <w:r>
        <w:t xml:space="preserve"> </w:t>
      </w:r>
      <w:r>
        <w:t xml:space="preserve">field is present, the</w:t>
      </w:r>
      <w:r>
        <w:t xml:space="preserve"> </w:t>
      </w:r>
      <w:r>
        <w:rPr>
          <w:rStyle w:val="VerbatimChar"/>
        </w:rPr>
        <w:t xml:space="preserve">subject:countryName</w:t>
      </w:r>
      <w:r>
        <w:t xml:space="preserve"> </w:t>
      </w:r>
      <w:r>
        <w:t xml:space="preserve">MUST contain the two-letter ISO 3166-1 country code associated with the location of the Subject verified under Section 3.2.2.1. If the</w:t>
      </w:r>
      <w:r>
        <w:t xml:space="preserve"> </w:t>
      </w:r>
      <w:r>
        <w:rPr>
          <w:rStyle w:val="VerbatimChar"/>
        </w:rPr>
        <w:t xml:space="preserve">subject:organizationName</w:t>
      </w:r>
      <w:r>
        <w:t xml:space="preserve"> </w:t>
      </w:r>
      <w:r>
        <w:t xml:space="preserve">field is absent, the</w:t>
      </w:r>
      <w:r>
        <w:t xml:space="preserve"> </w:t>
      </w:r>
      <w:r>
        <w:rPr>
          <w:rStyle w:val="VerbatimChar"/>
        </w:rPr>
        <w:t xml:space="preserve">subject:countryName</w:t>
      </w:r>
      <w:r>
        <w:t xml:space="preserve"> </w:t>
      </w:r>
      <w:r>
        <w:t xml:space="preserve">field MAY contain the two-letter ISO 3166-1 country code associated with the Subject as verified in accordance with Section 3.2.2.3. If a Country is not represented by an official ISO 3166-1 country code, the CA MAY specify the ISO 3166-1 user-assigned code of XX indicating that an official ISO 3166-1 alpha-2 code has not been assigned.</w:t>
      </w:r>
    </w:p>
    <w:p>
      <w:pPr>
        <w:numPr>
          <w:ilvl w:val="0"/>
          <w:numId w:val="1044"/>
        </w:numPr>
      </w:pPr>
      <w:r>
        <w:rPr>
          <w:b/>
        </w:rPr>
        <w:t xml:space="preserve">Certificate Field:</w:t>
      </w:r>
      <w:r>
        <w:t xml:space="preserve"> </w:t>
      </w:r>
      <w:r>
        <w:rPr>
          <w:rStyle w:val="VerbatimChar"/>
        </w:rPr>
        <w:t xml:space="preserve">subject:organizationalUnitName</w:t>
      </w:r>
      <w:r>
        <w:t xml:space="preserve"> </w:t>
      </w:r>
      <w:r>
        <w:t xml:space="preserve">(OID: 2.5.4.11)</w:t>
      </w:r>
      <w:r>
        <w:t xml:space="preserve"> </w:t>
      </w:r>
      <w:r>
        <w:rPr>
          <w:b/>
        </w:rPr>
        <w:t xml:space="preserve">Required/Optional:</w:t>
      </w:r>
      <w:r>
        <w:t xml:space="preserve"> </w:t>
      </w:r>
      <w:r>
        <w:rPr>
          <w:b/>
        </w:rPr>
        <w:t xml:space="preserve">Optional</w:t>
      </w:r>
      <w:r>
        <w:t xml:space="preserve">.</w:t>
      </w:r>
      <w:r>
        <w:br/>
      </w:r>
      <w:r>
        <w:rPr>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 Section 3.2 and the Certificate also contains</w:t>
      </w:r>
      <w:r>
        <w:t xml:space="preserve"> </w:t>
      </w:r>
      <w:r>
        <w:rPr>
          <w:rStyle w:val="VerbatimChar"/>
        </w:rPr>
        <w:t xml:space="preserve">subject:organizationName</w:t>
      </w:r>
      <w:r>
        <w:t xml:space="preserve">,</w:t>
      </w:r>
      <w:r>
        <w:t xml:space="preserve"> </w:t>
      </w:r>
      <w:r>
        <w:rPr>
          <w:rStyle w:val="VerbatimChar"/>
        </w:rPr>
        <w:t xml:space="preserve">subject:givenName</w:t>
      </w:r>
      <w:r>
        <w:t xml:space="preserve">,</w:t>
      </w:r>
      <w:r>
        <w:t xml:space="preserve"> </w:t>
      </w:r>
      <w:r>
        <w:rPr>
          <w:rStyle w:val="VerbatimChar"/>
        </w:rPr>
        <w:t xml:space="preserve">subject:surname</w:t>
      </w:r>
      <w:r>
        <w:t xml:space="preserve">,</w:t>
      </w:r>
      <w:r>
        <w:t xml:space="preserve"> </w:t>
      </w:r>
      <w:r>
        <w:rPr>
          <w:rStyle w:val="VerbatimChar"/>
        </w:rPr>
        <w:t xml:space="preserve">subject:localityName</w:t>
      </w:r>
      <w:r>
        <w:t xml:space="preserve">, and</w:t>
      </w:r>
      <w:r>
        <w:t xml:space="preserve"> </w:t>
      </w:r>
      <w:r>
        <w:rPr>
          <w:rStyle w:val="VerbatimChar"/>
        </w:rPr>
        <w:t xml:space="preserve">subject:countryName</w:t>
      </w:r>
      <w:r>
        <w:t xml:space="preserve"> </w:t>
      </w:r>
      <w:r>
        <w:t xml:space="preserve">attributes, also verified in accordance with Section 3.2.2.1.</w:t>
      </w:r>
    </w:p>
    <w:p>
      <w:pPr>
        <w:numPr>
          <w:ilvl w:val="0"/>
          <w:numId w:val="1044"/>
        </w:numPr>
      </w:pPr>
      <w:r>
        <w:t xml:space="preserve">Other Subject Attributes</w:t>
      </w:r>
      <w:r>
        <w:t xml:space="preserve"> </w:t>
      </w:r>
      <w:r>
        <w:t xml:space="preserve">Other attributes MAY be present within the subject field. If present, other attributes MUST contain information that has been verified by the CA.</w:t>
      </w:r>
    </w:p>
    <w:p>
      <w:pPr>
        <w:pStyle w:val="Heading4"/>
      </w:pPr>
      <w:bookmarkStart w:id="287" w:name="X6f298e0947afc7f742b26b6331ba6939e899288"/>
      <w:r>
        <w:t xml:space="preserve">7.1.4.3. Subject Information - Root Certificates and Subordinate CA Certificates</w:t>
      </w:r>
      <w:bookmarkEnd w:id="287"/>
    </w:p>
    <w:p>
      <w:pPr>
        <w:pStyle w:val="FirstParagraph"/>
      </w:pPr>
      <w:r>
        <w:t xml:space="preserve">By issuing a Subordinate CA Certificate, the CA represents that it followed the procedure set forth in its Certificate Policy and/or Certification Practice Statement to verify that, as of the Certificate’s issuance date, all of the Subject Information was accurate.</w:t>
      </w:r>
    </w:p>
    <w:p>
      <w:pPr>
        <w:pStyle w:val="Heading5"/>
      </w:pPr>
      <w:bookmarkStart w:id="288" w:name="subject-distinguished-name-fields-1"/>
      <w:r>
        <w:t xml:space="preserve">7.1.4.3.1. Subject Distinguished Name Fields</w:t>
      </w:r>
      <w:bookmarkEnd w:id="288"/>
    </w:p>
    <w:p>
      <w:pPr>
        <w:numPr>
          <w:ilvl w:val="0"/>
          <w:numId w:val="1045"/>
        </w:numPr>
      </w:pPr>
      <w:r>
        <w:rPr>
          <w:b/>
        </w:rPr>
        <w:t xml:space="preserve">Certificate Field:</w:t>
      </w:r>
      <w:r>
        <w:t xml:space="preserve"> </w:t>
      </w:r>
      <w:r>
        <w:rPr>
          <w:rStyle w:val="VerbatimChar"/>
        </w:rPr>
        <w:t xml:space="preserve">subject:commonName</w:t>
      </w:r>
      <w:r>
        <w:t xml:space="preserve"> </w:t>
      </w:r>
      <w:r>
        <w:t xml:space="preserve">(OID 2.5.4.3)</w:t>
      </w:r>
      <w:r>
        <w:br/>
      </w:r>
      <w:r>
        <w:rPr>
          <w:b/>
        </w:rPr>
        <w:t xml:space="preserve">Required/Optional:</w:t>
      </w:r>
      <w:r>
        <w:t xml:space="preserve"> </w:t>
      </w:r>
      <w:r>
        <w:t xml:space="preserve">Required</w:t>
      </w:r>
      <w:r>
        <w:br/>
      </w:r>
      <w:r>
        <w:rPr>
          <w:b/>
        </w:rPr>
        <w:t xml:space="preserve">Contents:</w:t>
      </w:r>
      <w:r>
        <w:t xml:space="preserve"> </w:t>
      </w:r>
      <w:r>
        <w:t xml:space="preserve">This field MUST be present and the contents SHOULD be an identifier for the certificate such that the certificate’s Name is unique across all certificates issued by the issuing certificate.</w:t>
      </w:r>
    </w:p>
    <w:p>
      <w:pPr>
        <w:numPr>
          <w:ilvl w:val="0"/>
          <w:numId w:val="1045"/>
        </w:numPr>
      </w:pPr>
      <w:r>
        <w:rPr>
          <w:b/>
        </w:rPr>
        <w:t xml:space="preserve">Certificate Field:</w:t>
      </w:r>
      <w:r>
        <w:t xml:space="preserve"> </w:t>
      </w:r>
      <w:r>
        <w:rPr>
          <w:rStyle w:val="VerbatimChar"/>
        </w:rPr>
        <w:t xml:space="preserve">subject:organizationName</w:t>
      </w:r>
      <w:r>
        <w:t xml:space="preserve"> </w:t>
      </w:r>
      <w:r>
        <w:t xml:space="preserve">(OID 2.5.4.10)</w:t>
      </w:r>
      <w:r>
        <w:br/>
      </w:r>
      <w:r>
        <w:rPr>
          <w:b/>
        </w:rPr>
        <w:t xml:space="preserve">Required/Optional:</w:t>
      </w:r>
      <w:r>
        <w:t xml:space="preserve"> </w:t>
      </w:r>
      <w:r>
        <w:t xml:space="preserve">Required</w:t>
      </w:r>
      <w:r>
        <w:br/>
      </w:r>
      <w:r>
        <w:rPr>
          <w:b/>
        </w:rPr>
        <w:t xml:space="preserve">Contents:</w:t>
      </w:r>
      <w:r>
        <w:t xml:space="preserve"> </w:t>
      </w:r>
      <w:r>
        <w:t xml:space="preserve">This field MUST be present and the contents MUST contain either the Subject CA’s name or DBA as verified under Section 3.2.2.2.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p>
      <w:pPr>
        <w:numPr>
          <w:ilvl w:val="0"/>
          <w:numId w:val="1045"/>
        </w:numPr>
      </w:pPr>
      <w:r>
        <w:rPr>
          <w:b/>
        </w:rPr>
        <w:t xml:space="preserve">Certificate Field:</w:t>
      </w:r>
      <w:r>
        <w:t xml:space="preserve"> </w:t>
      </w:r>
      <w:r>
        <w:rPr>
          <w:rStyle w:val="VerbatimChar"/>
        </w:rPr>
        <w:t xml:space="preserve">subject:countryName</w:t>
      </w:r>
      <w:r>
        <w:t xml:space="preserve"> </w:t>
      </w:r>
      <w:r>
        <w:t xml:space="preserve">(OID: 2.5.4.6)</w:t>
      </w:r>
      <w:r>
        <w:br/>
      </w:r>
      <w:r>
        <w:rPr>
          <w:b/>
        </w:rPr>
        <w:t xml:space="preserve">Required/Optional:</w:t>
      </w:r>
      <w:r>
        <w:t xml:space="preserve"> </w:t>
      </w:r>
      <w:r>
        <w:t xml:space="preserve">Required</w:t>
      </w:r>
      <w:r>
        <w:br/>
      </w:r>
      <w:r>
        <w:rPr>
          <w:b/>
        </w:rPr>
        <w:t xml:space="preserve">Contents:</w:t>
      </w:r>
      <w:r>
        <w:t xml:space="preserve"> </w:t>
      </w:r>
      <w:r>
        <w:t xml:space="preserve">This field MUST contain the two‐letter ISO 3166‐1 country code for the country in which the CA’s place of business is located.</w:t>
      </w:r>
    </w:p>
    <w:p>
      <w:pPr>
        <w:pStyle w:val="Heading3"/>
      </w:pPr>
      <w:bookmarkStart w:id="289" w:name="name-constraints"/>
      <w:r>
        <w:t xml:space="preserve">7.1.5 Name constraints</w:t>
      </w:r>
      <w:bookmarkEnd w:id="289"/>
    </w:p>
    <w:p>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 anyExtendedKeyUsage KeyPurposeId MUST NOT appear within this extension.</w:t>
      </w:r>
    </w:p>
    <w:p>
      <w:pPr>
        <w:pStyle w:val="BodyText"/>
      </w:pPr>
      <w:r>
        <w:t xml:space="preserve">If the Subordinate CA Certificate includes the id-kp-serverAuth extended key usage, then the Subordinate CA Certificate MUST include the Name Constraints X.509v3 extension with constraints on dNSName, iPAddress and DirectoryName as follows:</w:t>
      </w:r>
    </w:p>
    <w:p>
      <w:pPr>
        <w:numPr>
          <w:ilvl w:val="0"/>
          <w:numId w:val="1046"/>
        </w:numPr>
      </w:pPr>
      <w:r>
        <w:t xml:space="preserve">For each dNSName in permittedSubtrees, the CA MUST confirm that the Applicant has registered the dNSName or has been authorized by the domain registrant to act on the registrant’s behalf in line with the verification practices of section 3.2.2.4.</w:t>
      </w:r>
    </w:p>
    <w:p>
      <w:pPr>
        <w:numPr>
          <w:ilvl w:val="0"/>
          <w:numId w:val="1046"/>
        </w:numPr>
      </w:pPr>
      <w:r>
        <w:t xml:space="preserve">For each iPAddress range in permittedSubtrees, the CA MUST confirm that the Applicant has been assigned the iPAddress range or has been authorized by the assigner to act on the assignee’s behalf.</w:t>
      </w:r>
    </w:p>
    <w:p>
      <w:pPr>
        <w:numPr>
          <w:ilvl w:val="0"/>
          <w:numId w:val="1046"/>
        </w:numPr>
      </w:pPr>
      <w:r>
        <w:t xml:space="preserve">For each DirectoryName in permittedSubtrees the CA MUST confirm the Applicants and/or Subsidiary’s Organizational name and location such that end entity certificates issued from the subordinate CA Certificate will be in compliancy with section 7.1.2.4 and 7.1.2.5.</w:t>
      </w:r>
    </w:p>
    <w:p>
      <w:pPr>
        <w:pStyle w:val="FirstParagraph"/>
      </w:pPr>
      <w:r>
        <w:t xml:space="preserve">If the Subordinate CA Certificate is not allowed to issue certificates with an iPAddress, then the Subordinate CA Certificate MUST specify the entire IPv4 and IPv6 address ranges in excludedSubtrees. The Subordinate CA Certificate MUST include within excludedSubtrees an iPAddress GeneralName of 8 zero octets (covering the IPv4 address range of 0.0.0.0/0). The Subordinate CA Certificate MUST also include within excludedSubtrees an iPAddress GeneralName of 32 zero octets (covering the IPv6 address range of ::0/0). Otherwise, the Subordinate CA Certificate MUST include at least one iPAddress in permittedSubtrees.</w:t>
      </w:r>
    </w:p>
    <w:p>
      <w:pPr>
        <w:pStyle w:val="BodyText"/>
      </w:pPr>
      <w:r>
        <w:t xml:space="preserve">A decoded example for issuance to the domain and sub domains of</w:t>
      </w:r>
      <w:r>
        <w:t xml:space="preserve"> </w:t>
      </w:r>
      <w:r>
        <w:rPr>
          <w:rStyle w:val="VerbatimChar"/>
        </w:rPr>
        <w:t xml:space="preserve">example.com</w:t>
      </w:r>
      <w:r>
        <w:t xml:space="preserve"> </w:t>
      </w:r>
      <w:r>
        <w:t xml:space="preserve">by organization</w:t>
      </w:r>
      <w:r>
        <w:t xml:space="preserve"> </w:t>
      </w:r>
      <w:r>
        <w:rPr>
          <w:rStyle w:val="VerbatimChar"/>
        </w:rPr>
        <w:t xml:space="preserve">Example LLC, Boston, Massachusetts, US</w:t>
      </w:r>
      <w:r>
        <w:t xml:space="preserve"> </w:t>
      </w:r>
      <w:r>
        <w:t xml:space="preserve">would be:</w:t>
      </w:r>
    </w:p>
    <w:p>
      <w:pPr>
        <w:pStyle w:val="SourceCode"/>
      </w:pPr>
      <w:r>
        <w:rPr>
          <w:rStyle w:val="VerbatimChar"/>
        </w:rPr>
        <w:t xml:space="preserve"> 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pPr>
        <w:pStyle w:val="FirstParagraph"/>
      </w:pPr>
      <w:r>
        <w:t xml:space="preserve">If the Subordinate CA is not allowed to issue certificates with dNSNames, then the Subordinate CA Certificate MUST include a zero-length dNSName in excludedSubtrees. Otherwise, the Subordinate CA Certificate MUST include at least one dNSName in permittedSubtrees.</w:t>
      </w:r>
    </w:p>
    <w:p>
      <w:pPr>
        <w:pStyle w:val="Heading3"/>
      </w:pPr>
      <w:bookmarkStart w:id="290" w:name="certificate-policy-object-identifier"/>
      <w:r>
        <w:t xml:space="preserve">7.1.6 Certificate policy object identifier</w:t>
      </w:r>
      <w:bookmarkEnd w:id="290"/>
    </w:p>
    <w:p>
      <w:pPr>
        <w:pStyle w:val="Heading4"/>
      </w:pPr>
      <w:bookmarkStart w:id="291" w:name="reserved-certificate-policy-identifiers"/>
      <w:r>
        <w:t xml:space="preserve">7.1.6.1. Reserved Certificate Policy Identifiers</w:t>
      </w:r>
      <w:bookmarkEnd w:id="291"/>
    </w:p>
    <w:p>
      <w:pPr>
        <w:pStyle w:val="FirstParagraph"/>
      </w:pPr>
      <w:r>
        <w:t xml:space="preserve">This section describes the content requirements for the Root CA, Subordinate CA, and Subscriber Certificates, as they relate to the identification of Certificate Policy.</w:t>
      </w:r>
    </w:p>
    <w:p>
      <w:pPr>
        <w:pStyle w:val="BodyText"/>
      </w:pPr>
      <w:r>
        <w:t xml:space="preserve">The following Certificate Policy identifiers are reserved for use by CAs as an optional means of asserting compliance with these Requirements as follows:</w:t>
      </w:r>
    </w:p>
    <w:p>
      <w:pPr>
        <w:pStyle w:val="BodyText"/>
      </w:pPr>
      <w:r>
        <w:rPr>
          <w:rStyle w:val="VerbatimChar"/>
        </w:rPr>
        <w:t xml:space="preserve">{joint-iso-itu-t(2) international-organizations(23) ca-browser-forum(140) certificate-policies(1) baseline-requirements(2) domain-validated(1)} (2.23.140.1.2.1)</w:t>
      </w:r>
      <w:r>
        <w:t xml:space="preserve">, if the Certificate complies with these Requirements but lacks Subject Identity Information that is verified in accordance with Section 3.2.2.1 or Section 3.2.3.</w:t>
      </w:r>
    </w:p>
    <w:p>
      <w:pPr>
        <w:pStyle w:val="BodyText"/>
      </w:pPr>
      <w:r>
        <w:t xml:space="preserve">If the Certificate asserts the policy identifier of 2.23.140.1.2.1, then it MUST NOT include organizationName, givenName, surname, streetAddress, localityName, stateOrProvinceName, or postalCode in the Subject field.</w:t>
      </w:r>
    </w:p>
    <w:p>
      <w:pPr>
        <w:pStyle w:val="BodyText"/>
      </w:pPr>
      <w:r>
        <w:rPr>
          <w:rStyle w:val="VerbatimChar"/>
        </w:rPr>
        <w:t xml:space="preserve">{joint-iso-itu-t(2) international-organizations(23) ca-browser-forum(140) certificate-policies(1) baseline-requirements(2) organization-validated(2)} (2.23.140.1.2.2)</w:t>
      </w:r>
      <w:r>
        <w:t xml:space="preserve">, if the Certificate complies with these Requirements and includes Subject Identity Information that is verified in accordance with Section 3.2.2.1.</w:t>
      </w:r>
    </w:p>
    <w:p>
      <w:pPr>
        <w:pStyle w:val="BodyText"/>
      </w:pPr>
      <w:r>
        <w:rPr>
          <w:rStyle w:val="VerbatimChar"/>
        </w:rPr>
        <w:t xml:space="preserve">{joint-iso-itu-t(2) international-organizations(23) ca-browser-forum(140) certificate-policies(1) baseline-requirements(2) individual-validated(3)} (2.23.140.1.2.3)</w:t>
      </w:r>
      <w:r>
        <w:t xml:space="preserve">, if the Certificate complies with these Requirements and includes Subject Identity Information that is verified in accordance with Section 3.2.3.</w:t>
      </w:r>
    </w:p>
    <w:p>
      <w:pPr>
        <w:pStyle w:val="BodyText"/>
      </w:pPr>
      <w:r>
        <w:t xml:space="preserve">If the Certificate asserts the policy identifier of 2.23.140.1.2.2, then it MUST also include</w:t>
      </w:r>
      <w:r>
        <w:t xml:space="preserve"> </w:t>
      </w:r>
      <w:r>
        <w:rPr>
          <w:rStyle w:val="VerbatimChar"/>
        </w:rPr>
        <w:t xml:space="preserve">organizationName</w:t>
      </w:r>
      <w:r>
        <w:t xml:space="preserve">,</w:t>
      </w:r>
      <w:r>
        <w:t xml:space="preserve"> </w:t>
      </w:r>
      <w:r>
        <w:rPr>
          <w:rStyle w:val="VerbatimChar"/>
        </w:rPr>
        <w:t xml:space="preserve">localityName</w:t>
      </w:r>
      <w:r>
        <w:t xml:space="preserve"> </w:t>
      </w:r>
      <w:r>
        <w:t xml:space="preserve">(to the extent such field is required under Section 7.1.4.2.2),</w:t>
      </w:r>
      <w:r>
        <w:t xml:space="preserve"> </w:t>
      </w:r>
      <w:r>
        <w:rPr>
          <w:rStyle w:val="VerbatimChar"/>
        </w:rPr>
        <w:t xml:space="preserve">stateOrProvinceName</w:t>
      </w:r>
      <w:r>
        <w:t xml:space="preserve"> </w:t>
      </w:r>
      <w:r>
        <w:t xml:space="preserve">(to the extent such field is required under Section 7.1.4.2.2), and</w:t>
      </w:r>
      <w:r>
        <w:t xml:space="preserve"> </w:t>
      </w:r>
      <w:r>
        <w:rPr>
          <w:rStyle w:val="VerbatimChar"/>
        </w:rPr>
        <w:t xml:space="preserve">countryName</w:t>
      </w:r>
      <w:r>
        <w:t xml:space="preserve"> </w:t>
      </w:r>
      <w:r>
        <w:t xml:space="preserve">in the Subject field. If the Certificate asserts the policy identifier of 2.23.140.1.2.3, then it MUST also include (i) either</w:t>
      </w:r>
      <w:r>
        <w:t xml:space="preserve"> </w:t>
      </w:r>
      <w:r>
        <w:rPr>
          <w:rStyle w:val="VerbatimChar"/>
        </w:rPr>
        <w:t xml:space="preserve">organizationName</w:t>
      </w:r>
      <w:r>
        <w:t xml:space="preserve"> </w:t>
      </w:r>
      <w:r>
        <w:t xml:space="preserve">or</w:t>
      </w:r>
      <w:r>
        <w:t xml:space="preserve"> </w:t>
      </w:r>
      <w:r>
        <w:rPr>
          <w:rStyle w:val="VerbatimChar"/>
        </w:rPr>
        <w:t xml:space="preserve">givenName</w:t>
      </w:r>
      <w:r>
        <w:t xml:space="preserve"> </w:t>
      </w:r>
      <w:r>
        <w:t xml:space="preserve">and</w:t>
      </w:r>
      <w:r>
        <w:t xml:space="preserve"> </w:t>
      </w:r>
      <w:r>
        <w:rPr>
          <w:rStyle w:val="VerbatimChar"/>
        </w:rPr>
        <w:t xml:space="preserve">surname</w:t>
      </w:r>
      <w:r>
        <w:t xml:space="preserve">, (ii)</w:t>
      </w:r>
      <w:r>
        <w:t xml:space="preserve"> </w:t>
      </w:r>
      <w:r>
        <w:rPr>
          <w:rStyle w:val="VerbatimChar"/>
        </w:rPr>
        <w:t xml:space="preserve">localityName</w:t>
      </w:r>
      <w:r>
        <w:t xml:space="preserve"> </w:t>
      </w:r>
      <w:r>
        <w:t xml:space="preserve">(to the extent such field is required under Section 7.1.4.2.2), (iii)</w:t>
      </w:r>
      <w:r>
        <w:t xml:space="preserve"> </w:t>
      </w:r>
      <w:r>
        <w:rPr>
          <w:rStyle w:val="VerbatimChar"/>
        </w:rPr>
        <w:t xml:space="preserve">stateOrProvinceName</w:t>
      </w:r>
      <w:r>
        <w:t xml:space="preserve"> </w:t>
      </w:r>
      <w:r>
        <w:t xml:space="preserve">(to the extent required under Section 7.1.4.2.2), and (iv)</w:t>
      </w:r>
      <w:r>
        <w:t xml:space="preserve"> </w:t>
      </w:r>
      <w:r>
        <w:rPr>
          <w:rStyle w:val="VerbatimChar"/>
        </w:rPr>
        <w:t xml:space="preserve">countryName</w:t>
      </w:r>
      <w:r>
        <w:t xml:space="preserve"> </w:t>
      </w:r>
      <w:r>
        <w:t xml:space="preserve">in the Subject field.</w:t>
      </w:r>
    </w:p>
    <w:p>
      <w:pPr>
        <w:pStyle w:val="Heading4"/>
      </w:pPr>
      <w:bookmarkStart w:id="292" w:name="root-ca-certificates-1"/>
      <w:r>
        <w:t xml:space="preserve">7.1.6.2. Root CA Certificates</w:t>
      </w:r>
      <w:bookmarkEnd w:id="292"/>
    </w:p>
    <w:p>
      <w:pPr>
        <w:pStyle w:val="FirstParagraph"/>
      </w:pPr>
      <w:r>
        <w:t xml:space="preserve">A Root CA Certificate SHOULD NOT contain the</w:t>
      </w:r>
      <w:r>
        <w:t xml:space="preserve"> </w:t>
      </w:r>
      <w:r>
        <w:rPr>
          <w:rStyle w:val="VerbatimChar"/>
        </w:rPr>
        <w:t xml:space="preserve">certificatePolicies</w:t>
      </w:r>
      <w:r>
        <w:t xml:space="preserve"> </w:t>
      </w:r>
      <w:r>
        <w:t xml:space="preserve">extension.</w:t>
      </w:r>
    </w:p>
    <w:p>
      <w:pPr>
        <w:pStyle w:val="Heading4"/>
      </w:pPr>
      <w:bookmarkStart w:id="293" w:name="subordinate-ca-certificates-1"/>
      <w:r>
        <w:t xml:space="preserve">7.1.6.3 Subordinate CA Certificates</w:t>
      </w:r>
      <w:bookmarkEnd w:id="293"/>
    </w:p>
    <w:p>
      <w:pPr>
        <w:pStyle w:val="FirstParagraph"/>
      </w:pPr>
      <w:r>
        <w:t xml:space="preserve">A Certificate issued to a Subordinate CA that is not an Affiliate of the Issuing CA:</w:t>
      </w:r>
    </w:p>
    <w:p>
      <w:pPr>
        <w:numPr>
          <w:ilvl w:val="0"/>
          <w:numId w:val="1047"/>
        </w:numPr>
      </w:pPr>
      <w:r>
        <w:t xml:space="preserve">MUST include one or more explicit policy identifiers that indicates the Subordinate CA’s adherence to and compliance with these Requirements (i.e. either the CA/Browser Forum reserved identifiers or identifiers documented by the CA in its Certificate Policy and/or Certification Practice Statement) and</w:t>
      </w:r>
    </w:p>
    <w:p>
      <w:pPr>
        <w:numPr>
          <w:ilvl w:val="0"/>
          <w:numId w:val="1047"/>
        </w:numPr>
      </w:pPr>
      <w:r>
        <w:t xml:space="preserve">MUST NOT contain the</w:t>
      </w:r>
      <w:r>
        <w:t xml:space="preserve"> </w:t>
      </w:r>
      <w:r>
        <w:rPr>
          <w:rStyle w:val="VerbatimChar"/>
        </w:rPr>
        <w:t xml:space="preserve">anyPolicy</w:t>
      </w:r>
      <w:r>
        <w:t xml:space="preserve"> </w:t>
      </w:r>
      <w:r>
        <w:t xml:space="preserve">identifier (2.5.29.32.0).</w:t>
      </w:r>
    </w:p>
    <w:p>
      <w:pPr>
        <w:pStyle w:val="FirstParagraph"/>
      </w:pPr>
      <w:r>
        <w:t xml:space="preserve">A Certificate issued to a Subordinate CA that is an affiliate of the Issuing CA:</w:t>
      </w:r>
    </w:p>
    <w:p>
      <w:pPr>
        <w:numPr>
          <w:ilvl w:val="0"/>
          <w:numId w:val="1048"/>
        </w:numPr>
      </w:pPr>
      <w:r>
        <w:t xml:space="preserve">MAY include the CA/Browser Forum reserved identifiers or an identifier documented by the CA in its Certificate Policy and/or Certification Practice Statement to indicate the Subordinate CA’s compliance with these Requirements and</w:t>
      </w:r>
    </w:p>
    <w:p>
      <w:pPr>
        <w:numPr>
          <w:ilvl w:val="0"/>
          <w:numId w:val="1048"/>
        </w:numPr>
      </w:pPr>
      <w:r>
        <w:t xml:space="preserve">MAY contain the</w:t>
      </w:r>
      <w:r>
        <w:t xml:space="preserve"> </w:t>
      </w:r>
      <w:r>
        <w:rPr>
          <w:rStyle w:val="VerbatimChar"/>
        </w:rPr>
        <w:t xml:space="preserve">anyPolicy</w:t>
      </w:r>
      <w:r>
        <w:t xml:space="preserve"> </w:t>
      </w:r>
      <w:r>
        <w:t xml:space="preserve">identifier (2.5.29.32.0) in place of an explicit policy identifier.</w:t>
      </w:r>
    </w:p>
    <w:p>
      <w:pPr>
        <w:pStyle w:val="FirstParagraph"/>
      </w:pPr>
      <w:r>
        <w:t xml:space="preserve">A Subordinate CA SHALL represent, in its Certificate Policy and/or Certification Practice Statement, that all Certificates containing a policy identifier indicating compliance with these Requirements are issued and managed in accordance with these Requirements.</w:t>
      </w:r>
    </w:p>
    <w:p>
      <w:pPr>
        <w:pStyle w:val="Heading4"/>
      </w:pPr>
      <w:bookmarkStart w:id="294" w:name="subscriber-certificates-1"/>
      <w:r>
        <w:t xml:space="preserve">7.1.6.4 Subscriber Certificates</w:t>
      </w:r>
      <w:bookmarkEnd w:id="294"/>
    </w:p>
    <w:p>
      <w:pPr>
        <w:pStyle w:val="FirstParagraph"/>
      </w:pPr>
      <w:r>
        <w:t xml:space="preserve">A Certificate issued to a Subscriber MUST contain a certificatePolicies extension.</w:t>
      </w:r>
    </w:p>
    <w:p>
      <w:pPr>
        <w:pStyle w:val="BodyText"/>
      </w:pPr>
      <w:r>
        <w:t xml:space="preserve">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pPr>
        <w:pStyle w:val="BodyText"/>
      </w:pPr>
      <w:r>
        <w:t xml:space="preserve">The issuing CA SHALL document in its Certificate Policy or Certification Practice Statement that the Certificates it issues containing the specified policy identifier(s) are managed in accordance with these Requirements.</w:t>
      </w:r>
    </w:p>
    <w:p>
      <w:pPr>
        <w:pStyle w:val="Heading3"/>
      </w:pPr>
      <w:bookmarkStart w:id="295" w:name="usage-of-policy-constraints-extension"/>
      <w:r>
        <w:t xml:space="preserve">7.1.7 Usage of Policy Constraints extension</w:t>
      </w:r>
      <w:bookmarkEnd w:id="295"/>
    </w:p>
    <w:p>
      <w:pPr>
        <w:pStyle w:val="Heading3"/>
      </w:pPr>
      <w:bookmarkStart w:id="296" w:name="policy-qualifiers-syntax-and-semantics"/>
      <w:r>
        <w:t xml:space="preserve">7.1.8 Policy qualifiers syntax and semantics</w:t>
      </w:r>
      <w:bookmarkEnd w:id="296"/>
    </w:p>
    <w:p>
      <w:pPr>
        <w:pStyle w:val="Heading3"/>
      </w:pPr>
      <w:bookmarkStart w:id="297" w:name="X354a105911d39fbf17da2585bc9fdca6676e5e3"/>
      <w:r>
        <w:t xml:space="preserve">7.1.9 Processing semantics for the critical Certificate Policies extension</w:t>
      </w:r>
      <w:bookmarkEnd w:id="297"/>
    </w:p>
    <w:p>
      <w:pPr>
        <w:pStyle w:val="Heading2"/>
      </w:pPr>
      <w:bookmarkStart w:id="298" w:name="crl-profile"/>
      <w:r>
        <w:t xml:space="preserve">7.2 CRL profile</w:t>
      </w:r>
      <w:bookmarkEnd w:id="298"/>
    </w:p>
    <w:p>
      <w:pPr>
        <w:pStyle w:val="Heading3"/>
      </w:pPr>
      <w:bookmarkStart w:id="299" w:name="version-numbers-1"/>
      <w:r>
        <w:t xml:space="preserve">7.2.1 Version number(s)</w:t>
      </w:r>
      <w:bookmarkEnd w:id="299"/>
    </w:p>
    <w:p>
      <w:pPr>
        <w:pStyle w:val="Heading3"/>
      </w:pPr>
      <w:bookmarkStart w:id="300" w:name="crl-and-crl-entry-extensions"/>
      <w:r>
        <w:t xml:space="preserve">7.2.2 CRL and CRL entry extensions</w:t>
      </w:r>
      <w:bookmarkEnd w:id="300"/>
    </w:p>
    <w:p>
      <w:pPr>
        <w:pStyle w:val="Heading2"/>
      </w:pPr>
      <w:bookmarkStart w:id="301" w:name="ocsp-profile"/>
      <w:r>
        <w:t xml:space="preserve">7.3 OCSP profile</w:t>
      </w:r>
      <w:bookmarkEnd w:id="301"/>
    </w:p>
    <w:p>
      <w:pPr>
        <w:pStyle w:val="Heading3"/>
      </w:pPr>
      <w:bookmarkStart w:id="302" w:name="version-numbers-2"/>
      <w:r>
        <w:t xml:space="preserve">7.3.1 Version number(s)</w:t>
      </w:r>
      <w:bookmarkEnd w:id="302"/>
    </w:p>
    <w:p>
      <w:pPr>
        <w:pStyle w:val="Heading3"/>
      </w:pPr>
      <w:bookmarkStart w:id="303" w:name="ocsp-extensions"/>
      <w:r>
        <w:t xml:space="preserve">7.3.2 OCSP extensions</w:t>
      </w:r>
      <w:bookmarkEnd w:id="303"/>
    </w:p>
    <w:p>
      <w:pPr>
        <w:pStyle w:val="Heading1"/>
      </w:pPr>
      <w:bookmarkStart w:id="304" w:name="compliance-audit-and-other-assessments"/>
      <w:r>
        <w:t xml:space="preserve">8. COMPLIANCE AUDIT AND OTHER ASSESSMENTS</w:t>
      </w:r>
      <w:bookmarkEnd w:id="304"/>
    </w:p>
    <w:p>
      <w:pPr>
        <w:pStyle w:val="FirstParagraph"/>
      </w:pPr>
      <w:r>
        <w:t xml:space="preserve">The CA SHALL at all times:</w:t>
      </w:r>
    </w:p>
    <w:p>
      <w:pPr>
        <w:numPr>
          <w:ilvl w:val="0"/>
          <w:numId w:val="1049"/>
        </w:numPr>
      </w:pPr>
      <w:r>
        <w:t xml:space="preserve">Issue Certificates and operate its PKI in accordance with all law applicable to its business and the Certificates it issues in every jurisdiction in which it operates;</w:t>
      </w:r>
    </w:p>
    <w:p>
      <w:pPr>
        <w:numPr>
          <w:ilvl w:val="0"/>
          <w:numId w:val="1049"/>
        </w:numPr>
      </w:pPr>
      <w:r>
        <w:t xml:space="preserve">Comply with these Requirements;</w:t>
      </w:r>
    </w:p>
    <w:p>
      <w:pPr>
        <w:numPr>
          <w:ilvl w:val="0"/>
          <w:numId w:val="1049"/>
        </w:numPr>
      </w:pPr>
      <w:r>
        <w:t xml:space="preserve">Comply with the audit requirements set forth in this section; and</w:t>
      </w:r>
    </w:p>
    <w:p>
      <w:pPr>
        <w:numPr>
          <w:ilvl w:val="0"/>
          <w:numId w:val="1049"/>
        </w:numPr>
      </w:pPr>
      <w:r>
        <w:t xml:space="preserve">Be licensed as a CA in each jurisdiction where it operates, if licensing is required by the law of such jurisdiction for the issuance of Certificates.</w:t>
      </w:r>
    </w:p>
    <w:p>
      <w:pPr>
        <w:pStyle w:val="FirstParagraph"/>
      </w:pPr>
      <w:r>
        <w:rPr>
          <w:b/>
        </w:rPr>
        <w:t xml:space="preserve">Implementers’ Note</w:t>
      </w:r>
      <w:r>
        <w:t xml:space="preserve">: Version 1.1.6 of the SSL Baseline Requirements was published on July 29, 2013. Version 2.0 of WebTrust’s Principles and Criteria for Certifiation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p>
      <w:pPr>
        <w:pStyle w:val="Heading2"/>
      </w:pPr>
      <w:bookmarkStart w:id="305" w:name="frequency-or-circumstances-of-assessment"/>
      <w:r>
        <w:t xml:space="preserve">8.1 Frequency or circumstances of assessment</w:t>
      </w:r>
      <w:bookmarkEnd w:id="305"/>
    </w:p>
    <w:p>
      <w:pPr>
        <w:pStyle w:val="FirstParagraph"/>
      </w:pPr>
      <w:r>
        <w:t xml:space="preserve">Certificates that are capable of being used to issue new certificates MUST either be Technically Constrained in line with section 7.1.5 and audited in line with section 8.7 only, or Unconstrained and fully audited in line with all remaining requirements from this section. A Certificate is deemed as capable of being used to issue new certificates if it contains an X.509v3 basicConstraints 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 Section 8.1, then no pre-issuance readiness assessment is necessary.</w:t>
      </w:r>
    </w:p>
    <w:p>
      <w:pPr>
        <w:pStyle w:val="BodyText"/>
      </w:pPr>
      <w:r>
        <w:t xml:space="preserve">If the CA does not have a currently valid Audit Report indicating compliance with one of the audit schemes listed in Section 8.1, then, before issuing Publicly-Trusted Certificates, the CA SHALL successfully complete a point-in-time readiness assessment performed in accordance with applicable standards under one of the audit schemes listed in Section 8.1. The point-in-time readiness assessment SHALL be completed no earlier than twelve (12) months prior to issuing Publicly-Trusted Certificates and SHALL be followed by a complete audit under such scheme within ninety (90) days of issuing the first Publicly-Trusted Certificate.</w:t>
      </w:r>
    </w:p>
    <w:p>
      <w:pPr>
        <w:pStyle w:val="Heading2"/>
      </w:pPr>
      <w:bookmarkStart w:id="306" w:name="identityqualifications-of-assessor"/>
      <w:r>
        <w:t xml:space="preserve">8.2 Identity/qualifications of assessor</w:t>
      </w:r>
      <w:bookmarkEnd w:id="306"/>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50"/>
        </w:numPr>
      </w:pPr>
      <w:r>
        <w:t xml:space="preserve">Independence from the subject of the audit;</w:t>
      </w:r>
    </w:p>
    <w:p>
      <w:pPr>
        <w:numPr>
          <w:ilvl w:val="0"/>
          <w:numId w:val="1050"/>
        </w:numPr>
      </w:pPr>
      <w:r>
        <w:t xml:space="preserve">The ability to conduct an audit that addresses the criteria specified in an Eligible Audit Scheme (see Section 8.1);</w:t>
      </w:r>
    </w:p>
    <w:p>
      <w:pPr>
        <w:numPr>
          <w:ilvl w:val="0"/>
          <w:numId w:val="1050"/>
        </w:numPr>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50"/>
        </w:numPr>
      </w:pPr>
      <w:r>
        <w:t xml:space="preserve">(For audits conducted in accordance with any one of the ETSI standards) accredited in accordance with ISO 17065 applying the requirements specified in ETSI EN 319 403;</w:t>
      </w:r>
    </w:p>
    <w:p>
      <w:pPr>
        <w:numPr>
          <w:ilvl w:val="0"/>
          <w:numId w:val="1050"/>
        </w:numPr>
      </w:pPr>
      <w:r>
        <w:t xml:space="preserve">(For audits conducted in accordance with the WebTrust standard) licensed by WebTrust;</w:t>
      </w:r>
    </w:p>
    <w:p>
      <w:pPr>
        <w:numPr>
          <w:ilvl w:val="0"/>
          <w:numId w:val="1050"/>
        </w:numPr>
      </w:pPr>
      <w:r>
        <w:t xml:space="preserve">Bound by law, government regulation, or professional code of ethics; and</w:t>
      </w:r>
    </w:p>
    <w:p>
      <w:pPr>
        <w:numPr>
          <w:ilvl w:val="0"/>
          <w:numId w:val="1050"/>
        </w:numPr>
      </w:pPr>
      <w:r>
        <w:t xml:space="preserve">Except in the case of an Internal Government Auditing Agency, maintains Professional Liability/Errors &amp; Omissions insurance with policy limits of at least one million US dollars in coverage</w:t>
      </w:r>
    </w:p>
    <w:p>
      <w:pPr>
        <w:pStyle w:val="Heading2"/>
      </w:pPr>
      <w:bookmarkStart w:id="307" w:name="X4139a1811e004086292be675fd0fcb025c90a03"/>
      <w:r>
        <w:t xml:space="preserve">8.3 Assessor’s relationship to assessed entity</w:t>
      </w:r>
      <w:bookmarkEnd w:id="307"/>
    </w:p>
    <w:p>
      <w:pPr>
        <w:pStyle w:val="Heading2"/>
      </w:pPr>
      <w:bookmarkStart w:id="308" w:name="topics-covered-by-assessment"/>
      <w:r>
        <w:t xml:space="preserve">8.4 Topics covered by assessment</w:t>
      </w:r>
      <w:bookmarkEnd w:id="308"/>
    </w:p>
    <w:p>
      <w:pPr>
        <w:pStyle w:val="FirstParagraph"/>
      </w:pPr>
      <w:r>
        <w:t xml:space="preserve">The CA SHALL undergo an audit in accordance with one of the following schemes:</w:t>
      </w:r>
    </w:p>
    <w:p>
      <w:pPr>
        <w:numPr>
          <w:ilvl w:val="0"/>
          <w:numId w:val="1051"/>
        </w:numPr>
      </w:pPr>
      <w:r>
        <w:t xml:space="preserve">“</w:t>
      </w:r>
      <w:r>
        <w:t xml:space="preserve">WebTrust for CAs v2.0 or newer</w:t>
      </w:r>
      <w:r>
        <w:t xml:space="preserve">”</w:t>
      </w:r>
      <w:r>
        <w:t xml:space="preserve"> </w:t>
      </w:r>
      <w:r>
        <w:t xml:space="preserve">AND</w:t>
      </w:r>
      <w:r>
        <w:t xml:space="preserve"> </w:t>
      </w:r>
      <w:r>
        <w:t xml:space="preserve">“</w:t>
      </w:r>
      <w:r>
        <w:t xml:space="preserve">WebTrust for CAs SSL Baseline with Network Security v2.2 or newer</w:t>
      </w:r>
      <w:r>
        <w:t xml:space="preserve">”</w:t>
      </w:r>
      <w:r>
        <w:t xml:space="preserve">; or</w:t>
      </w:r>
    </w:p>
    <w:p>
      <w:pPr>
        <w:numPr>
          <w:ilvl w:val="0"/>
          <w:numId w:val="1051"/>
        </w:numPr>
      </w:pPr>
      <w:r>
        <w:t xml:space="preserve">ETSI EN 319 411-1, which includes normative references to ETSI EN 319 401 (the latest version of the referenced ETSI documents should be applied); or</w:t>
      </w:r>
    </w:p>
    <w:p>
      <w:pPr>
        <w:numPr>
          <w:ilvl w:val="0"/>
          <w:numId w:val="1051"/>
        </w:numPr>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 Section 8.2.</w:t>
      </w:r>
    </w:p>
    <w:p>
      <w:pPr>
        <w:pStyle w:val="BodyText"/>
      </w:pPr>
      <w:r>
        <w:t xml:space="preserve">For Delegated Third Parties which are not Enterprise RAs, then the CA SHALL obtain an audit report, issued under the auditing standards that underlie the accepted audit schemes found in Section 8.1,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p>
      <w:pPr>
        <w:pStyle w:val="Heading2"/>
      </w:pPr>
      <w:bookmarkStart w:id="309" w:name="actions-taken-as-a-result-of-deficiency"/>
      <w:r>
        <w:t xml:space="preserve">8.5 Actions taken as a result of deficiency</w:t>
      </w:r>
      <w:bookmarkEnd w:id="309"/>
    </w:p>
    <w:p>
      <w:pPr>
        <w:pStyle w:val="Heading2"/>
      </w:pPr>
      <w:bookmarkStart w:id="310" w:name="communication-of-results"/>
      <w:r>
        <w:t xml:space="preserve">8.6 Communication of results</w:t>
      </w:r>
      <w:bookmarkEnd w:id="310"/>
    </w:p>
    <w:p>
      <w:pPr>
        <w:pStyle w:val="FirstParagraph"/>
      </w:pPr>
      <w:r>
        <w:t xml:space="preserve">The Audit Report SHALL state explicitly that it covers the relevant systems and processes used in the issuance of all Certificates that assert one or more of the policy identifiers listed in Section 7.1.6.1. The CA SHALL make the Audit Report publicly available. The CA is not required to make publicly available any general audit findings that do not impact the overall audit opinion. For both government and commercial CAs, the CA SHOULD make its Audit Report publicly available no later than three months after the end of the audit period. In the event of a delay greater than three months, and if so requested by an Application Software Supplier, the CA SHALL provide an explanatory letter signed by the Qualified Auditor.</w:t>
      </w:r>
    </w:p>
    <w:p>
      <w:pPr>
        <w:pStyle w:val="Heading2"/>
      </w:pPr>
      <w:bookmarkStart w:id="311" w:name="self-audits"/>
      <w:r>
        <w:t xml:space="preserve">8.7 Self-Audits</w:t>
      </w:r>
      <w:bookmarkEnd w:id="311"/>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Section 8.1,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p>
      <w:pPr>
        <w:pStyle w:val="Heading1"/>
      </w:pPr>
      <w:bookmarkStart w:id="312" w:name="other-business-and-legal-matters"/>
      <w:r>
        <w:t xml:space="preserve">9. OTHER BUSINESS AND LEGAL MATTERS</w:t>
      </w:r>
      <w:bookmarkEnd w:id="312"/>
    </w:p>
    <w:p>
      <w:pPr>
        <w:pStyle w:val="Heading2"/>
      </w:pPr>
      <w:bookmarkStart w:id="313" w:name="fees"/>
      <w:r>
        <w:t xml:space="preserve">9.1 Fees</w:t>
      </w:r>
      <w:bookmarkEnd w:id="313"/>
    </w:p>
    <w:p>
      <w:pPr>
        <w:pStyle w:val="Heading3"/>
      </w:pPr>
      <w:bookmarkStart w:id="314" w:name="certificate-issuance-or-renewal-fees"/>
      <w:r>
        <w:t xml:space="preserve">9.1.1 Certificate issuance or renewal fees</w:t>
      </w:r>
      <w:bookmarkEnd w:id="314"/>
    </w:p>
    <w:p>
      <w:pPr>
        <w:pStyle w:val="Heading3"/>
      </w:pPr>
      <w:bookmarkStart w:id="315" w:name="certificate-access-fees"/>
      <w:r>
        <w:t xml:space="preserve">9.1.2 Certificate access fees</w:t>
      </w:r>
      <w:bookmarkEnd w:id="315"/>
    </w:p>
    <w:p>
      <w:pPr>
        <w:pStyle w:val="Heading3"/>
      </w:pPr>
      <w:bookmarkStart w:id="316" w:name="X46f9b3359e998fe68b8d4d3ec9469d38843ff5c"/>
      <w:r>
        <w:t xml:space="preserve">9.1.3 Revocation or status information access fees</w:t>
      </w:r>
      <w:bookmarkEnd w:id="316"/>
    </w:p>
    <w:p>
      <w:pPr>
        <w:pStyle w:val="Heading3"/>
      </w:pPr>
      <w:bookmarkStart w:id="317" w:name="fees-for-other-services"/>
      <w:r>
        <w:t xml:space="preserve">9.1.4 Fees for other services</w:t>
      </w:r>
      <w:bookmarkEnd w:id="317"/>
    </w:p>
    <w:p>
      <w:pPr>
        <w:pStyle w:val="Heading3"/>
      </w:pPr>
      <w:bookmarkStart w:id="318" w:name="refund-policy"/>
      <w:r>
        <w:t xml:space="preserve">9.1.5 Refund policy</w:t>
      </w:r>
      <w:bookmarkEnd w:id="318"/>
    </w:p>
    <w:p>
      <w:pPr>
        <w:pStyle w:val="Heading2"/>
      </w:pPr>
      <w:bookmarkStart w:id="319" w:name="financial-responsibility"/>
      <w:r>
        <w:t xml:space="preserve">9.2 Financial responsibility</w:t>
      </w:r>
      <w:bookmarkEnd w:id="319"/>
    </w:p>
    <w:p>
      <w:pPr>
        <w:pStyle w:val="Heading3"/>
      </w:pPr>
      <w:bookmarkStart w:id="320" w:name="insurance-coverage"/>
      <w:r>
        <w:t xml:space="preserve">9.2.1 Insurance coverage</w:t>
      </w:r>
      <w:bookmarkEnd w:id="320"/>
    </w:p>
    <w:p>
      <w:pPr>
        <w:pStyle w:val="Heading3"/>
      </w:pPr>
      <w:bookmarkStart w:id="321" w:name="other-assets"/>
      <w:r>
        <w:t xml:space="preserve">9.2.2 Other assets</w:t>
      </w:r>
      <w:bookmarkEnd w:id="321"/>
    </w:p>
    <w:p>
      <w:pPr>
        <w:pStyle w:val="Heading3"/>
      </w:pPr>
      <w:bookmarkStart w:id="322" w:name="X8b93368f0dec828deec2a54cf8f814f20319ee1"/>
      <w:r>
        <w:t xml:space="preserve">9.2.3 Insurance or warranty coverage for end-entities</w:t>
      </w:r>
      <w:bookmarkEnd w:id="322"/>
    </w:p>
    <w:p>
      <w:pPr>
        <w:pStyle w:val="Heading2"/>
      </w:pPr>
      <w:bookmarkStart w:id="323" w:name="confidentiality-of-business-information"/>
      <w:r>
        <w:t xml:space="preserve">9.3 Confidentiality of business information</w:t>
      </w:r>
      <w:bookmarkEnd w:id="323"/>
    </w:p>
    <w:p>
      <w:pPr>
        <w:pStyle w:val="Heading3"/>
      </w:pPr>
      <w:bookmarkStart w:id="324" w:name="scope-of-confidential-information"/>
      <w:r>
        <w:t xml:space="preserve">9.3.1 Scope of confidential information</w:t>
      </w:r>
      <w:bookmarkEnd w:id="324"/>
    </w:p>
    <w:p>
      <w:pPr>
        <w:pStyle w:val="Heading3"/>
      </w:pPr>
      <w:bookmarkStart w:id="325" w:name="Xce47b517e8c3423bd1f041f062939c60fd2934c"/>
      <w:r>
        <w:t xml:space="preserve">9.3.2 Information not within the scope of confidential information</w:t>
      </w:r>
      <w:bookmarkEnd w:id="325"/>
    </w:p>
    <w:p>
      <w:pPr>
        <w:pStyle w:val="Heading3"/>
      </w:pPr>
      <w:bookmarkStart w:id="326" w:name="X43087101b15a4dbe04c710779f58d27852a48c4"/>
      <w:r>
        <w:t xml:space="preserve">9.3.3 Responsibility to protect confidential information</w:t>
      </w:r>
      <w:bookmarkEnd w:id="326"/>
    </w:p>
    <w:p>
      <w:pPr>
        <w:pStyle w:val="Heading2"/>
      </w:pPr>
      <w:bookmarkStart w:id="327" w:name="privacy-of-personal-information"/>
      <w:r>
        <w:t xml:space="preserve">9.4 Privacy of personal information</w:t>
      </w:r>
      <w:bookmarkEnd w:id="327"/>
    </w:p>
    <w:p>
      <w:pPr>
        <w:pStyle w:val="Heading3"/>
      </w:pPr>
      <w:bookmarkStart w:id="328" w:name="privacy-plan"/>
      <w:r>
        <w:t xml:space="preserve">9.4.1 Privacy plan</w:t>
      </w:r>
      <w:bookmarkEnd w:id="328"/>
    </w:p>
    <w:p>
      <w:pPr>
        <w:pStyle w:val="Heading3"/>
      </w:pPr>
      <w:bookmarkStart w:id="329" w:name="information-treated-as-private"/>
      <w:r>
        <w:t xml:space="preserve">9.4.2 Information treated as private</w:t>
      </w:r>
      <w:bookmarkEnd w:id="329"/>
    </w:p>
    <w:p>
      <w:pPr>
        <w:pStyle w:val="Heading3"/>
      </w:pPr>
      <w:bookmarkStart w:id="330" w:name="information-not-deemed-private"/>
      <w:r>
        <w:t xml:space="preserve">9.4.3 Information not deemed private</w:t>
      </w:r>
      <w:bookmarkEnd w:id="330"/>
    </w:p>
    <w:p>
      <w:pPr>
        <w:pStyle w:val="Heading3"/>
      </w:pPr>
      <w:bookmarkStart w:id="331" w:name="Xb009de5c09ff18942aff4d15c4a7835ba87f6d4"/>
      <w:r>
        <w:t xml:space="preserve">9.4.4 Responsibility to protect private information</w:t>
      </w:r>
      <w:bookmarkEnd w:id="331"/>
    </w:p>
    <w:p>
      <w:pPr>
        <w:pStyle w:val="Heading3"/>
      </w:pPr>
      <w:bookmarkStart w:id="332" w:name="X01baac2ffc45261757165031aec34330db01b6f"/>
      <w:r>
        <w:t xml:space="preserve">9.4.5 Notice and consent to use private information</w:t>
      </w:r>
      <w:bookmarkEnd w:id="332"/>
    </w:p>
    <w:p>
      <w:pPr>
        <w:pStyle w:val="Heading3"/>
      </w:pPr>
      <w:bookmarkStart w:id="333" w:name="X6f5bc137b698cd251b555b6c26c7a1d79105981"/>
      <w:r>
        <w:t xml:space="preserve">9.4.6 Disclosure pursuant to judicial or administrative process</w:t>
      </w:r>
      <w:bookmarkEnd w:id="333"/>
    </w:p>
    <w:p>
      <w:pPr>
        <w:pStyle w:val="Heading3"/>
      </w:pPr>
      <w:bookmarkStart w:id="334" w:name="X983c543425fdc3f4f03cdc138aa84350229661d"/>
      <w:r>
        <w:t xml:space="preserve">9.4.7 Other information disclosure circumstances</w:t>
      </w:r>
      <w:bookmarkEnd w:id="334"/>
    </w:p>
    <w:p>
      <w:pPr>
        <w:pStyle w:val="Heading2"/>
      </w:pPr>
      <w:bookmarkStart w:id="335" w:name="intellectual-property-rights"/>
      <w:r>
        <w:t xml:space="preserve">9.5 Intellectual property rights</w:t>
      </w:r>
      <w:bookmarkEnd w:id="335"/>
    </w:p>
    <w:p>
      <w:pPr>
        <w:pStyle w:val="Heading2"/>
      </w:pPr>
      <w:bookmarkStart w:id="336" w:name="representations-and-warranties"/>
      <w:r>
        <w:t xml:space="preserve">9.6 Representations and warranties</w:t>
      </w:r>
      <w:bookmarkEnd w:id="336"/>
    </w:p>
    <w:p>
      <w:pPr>
        <w:pStyle w:val="Heading3"/>
      </w:pPr>
      <w:bookmarkStart w:id="337" w:name="ca-representations-and-warranties"/>
      <w:r>
        <w:t xml:space="preserve">9.6.1 CA representations and warranties</w:t>
      </w:r>
      <w:bookmarkEnd w:id="337"/>
    </w:p>
    <w:p>
      <w:pPr>
        <w:pStyle w:val="FirstParagraph"/>
      </w:pPr>
      <w:r>
        <w:t xml:space="preserve">By issuing a Certificate, the CA makes the certificate warranties listed herein to the following Certificate Beneficiaries:</w:t>
      </w:r>
    </w:p>
    <w:p>
      <w:pPr>
        <w:numPr>
          <w:ilvl w:val="0"/>
          <w:numId w:val="1052"/>
        </w:numPr>
      </w:pPr>
      <w:r>
        <w:t xml:space="preserve">The Subscriber that is a party to the Subscriber Agreement or Terms of Use for the Certificate;</w:t>
      </w:r>
    </w:p>
    <w:p>
      <w:pPr>
        <w:numPr>
          <w:ilvl w:val="0"/>
          <w:numId w:val="1052"/>
        </w:numPr>
      </w:pPr>
      <w:r>
        <w:t xml:space="preserve">All Application Software Suppliers with whom the Root CA has entered into a contract for inclusion of its Root Certificate in software distributed by such Application Software Supplier; and</w:t>
      </w:r>
    </w:p>
    <w:p>
      <w:pPr>
        <w:numPr>
          <w:ilvl w:val="0"/>
          <w:numId w:val="1052"/>
        </w:numPr>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53"/>
        </w:numPr>
      </w:pPr>
      <w:r>
        <w:rPr>
          <w:b/>
        </w:rPr>
        <w:t xml:space="preserve">Right to Use Domain Name or IP Address</w:t>
      </w:r>
      <w:r>
        <w:t xml:space="preserve">: That, at the time of issuance, the CA (i) implemented a procedure for verifying that the Applicant either had the right to use, or had control of, the Domain Name(s) and IP address(es) listed in the Certificate’s subject field and subjectAltName extension (or, only in the case of Domain Names, was delegated such right or control by someone who had such right to use or control); (ii) followed the procedure when issuing the Certificate; and (iii) accurately described the procedure in the CA’s Certificate Policy and/or Certification Practice Statement;</w:t>
      </w:r>
    </w:p>
    <w:p>
      <w:pPr>
        <w:numPr>
          <w:ilvl w:val="0"/>
          <w:numId w:val="1053"/>
        </w:numPr>
      </w:pPr>
      <w:r>
        <w:rPr>
          <w:b/>
        </w:rPr>
        <w:t xml:space="preserve">Authorization for Certificate</w:t>
      </w:r>
      <w:r>
        <w:t xml:space="preserve">: That, at the time of issuance, the CA (i) implemented a procedure for verifying that the Subject authorized the issuance of the Certificate and that the Applicant Representative is authorized to request the Certificate on behalf of the Subject; (ii) followed the procedure when issuing the Certificate; and (iii) accurately described the procedure in the CA’s Certificate Policy and/or Certification Practice Statement;</w:t>
      </w:r>
    </w:p>
    <w:p>
      <w:pPr>
        <w:numPr>
          <w:ilvl w:val="0"/>
          <w:numId w:val="1053"/>
        </w:numPr>
      </w:pPr>
      <w:r>
        <w:rPr>
          <w:b/>
        </w:rPr>
        <w:t xml:space="preserve">Accuracy of Information</w:t>
      </w:r>
      <w:r>
        <w:t xml:space="preserve">: That, at the time of issuance, the CA (i) implemented a procedure for verifying the accuracy of all of the information contained in the Certificate (with the exception of the subject:organizationalUnitName attribute); (ii) followed the procedure when issuing the Certificate; and (iii) accurately described the procedure in the CA’s Certificate Policy and/or Certification Practice Statement;</w:t>
      </w:r>
    </w:p>
    <w:p>
      <w:pPr>
        <w:numPr>
          <w:ilvl w:val="0"/>
          <w:numId w:val="1053"/>
        </w:numPr>
      </w:pPr>
      <w:r>
        <w:rPr>
          <w:b/>
        </w:rPr>
        <w:t xml:space="preserve">No Misleading Information</w:t>
      </w:r>
      <w:r>
        <w:t xml:space="preserve">: That, at the time of issuance, the CA (i) implemented a procedure for reducing the likelihood that the information contained in the Certificate’s subject:organizationalUnitName attribute would be misleading; (ii) followed the procedure when issuing the Certificate; and (iii) accurately described the procedure in the CA’s Certificate Policy and/or Certification Practice Statement;</w:t>
      </w:r>
    </w:p>
    <w:p>
      <w:pPr>
        <w:numPr>
          <w:ilvl w:val="0"/>
          <w:numId w:val="1053"/>
        </w:numPr>
      </w:pPr>
      <w:r>
        <w:rPr>
          <w:b/>
        </w:rPr>
        <w:t xml:space="preserve">Identity of Applicant</w:t>
      </w:r>
      <w:r>
        <w:t xml:space="preserve">: That, if the Certificate contains Subject Identity Information, the CA (i) implemented a procedure to verify the identity of the Applicant in accordance with Sections 3.2 and 11.2; (ii) followed the procedure when issuing the Certificate; and (iii) accurately described the procedure in the CA’s Certificate Policy and/or Certification Practice Statement;</w:t>
      </w:r>
    </w:p>
    <w:p>
      <w:pPr>
        <w:numPr>
          <w:ilvl w:val="0"/>
          <w:numId w:val="1053"/>
        </w:numPr>
      </w:pPr>
      <w:r>
        <w:rPr>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53"/>
        </w:numPr>
      </w:pPr>
      <w:r>
        <w:rPr>
          <w:b/>
        </w:rPr>
        <w:t xml:space="preserve">Status</w:t>
      </w:r>
      <w:r>
        <w:t xml:space="preserve">: That the CA maintains a 24 x 7 publicly-accessible Repository with current information regarding the status (valid or revoked) of all unexpired Certificates; and</w:t>
      </w:r>
    </w:p>
    <w:p>
      <w:pPr>
        <w:numPr>
          <w:ilvl w:val="0"/>
          <w:numId w:val="1053"/>
        </w:numPr>
      </w:pPr>
      <w:r>
        <w:rPr>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pPr>
        <w:pStyle w:val="Heading3"/>
      </w:pPr>
      <w:bookmarkStart w:id="338" w:name="ra-representations-and-warranties"/>
      <w:r>
        <w:t xml:space="preserve">9.6.2 RA representations and warranties</w:t>
      </w:r>
      <w:bookmarkEnd w:id="338"/>
    </w:p>
    <w:p>
      <w:pPr>
        <w:pStyle w:val="FirstParagraph"/>
      </w:pPr>
      <w:r>
        <w:t xml:space="preserve">No stipulation.</w:t>
      </w:r>
    </w:p>
    <w:p>
      <w:pPr>
        <w:pStyle w:val="Heading3"/>
      </w:pPr>
      <w:bookmarkStart w:id="339" w:name="X8e228ef21bca5fb7c4e2cd32c809a578a44bcb2"/>
      <w:r>
        <w:t xml:space="preserve">9.6.3 Subscriber representations and warranties</w:t>
      </w:r>
      <w:bookmarkEnd w:id="339"/>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054"/>
        </w:numPr>
      </w:pPr>
      <w:r>
        <w:t xml:space="preserve">The Applicant’s agreement to the Subscriber Agreement with the CA, or</w:t>
      </w:r>
    </w:p>
    <w:p>
      <w:pPr>
        <w:numPr>
          <w:ilvl w:val="0"/>
          <w:numId w:val="1054"/>
        </w:numPr>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055"/>
        </w:numPr>
      </w:pPr>
      <w:r>
        <w:rPr>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055"/>
        </w:numPr>
      </w:pPr>
      <w:r>
        <w:rPr>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055"/>
        </w:numPr>
      </w:pPr>
      <w:r>
        <w:rPr>
          <w:b/>
        </w:rPr>
        <w:t xml:space="preserve">Acceptance of Certificate</w:t>
      </w:r>
      <w:r>
        <w:t xml:space="preserve">: An obligation and warranty that the Subscriber will review and verify the Certificate contents for accuracy;</w:t>
      </w:r>
    </w:p>
    <w:p>
      <w:pPr>
        <w:numPr>
          <w:ilvl w:val="0"/>
          <w:numId w:val="1055"/>
        </w:numPr>
      </w:pPr>
      <w:r>
        <w:rPr>
          <w:b/>
        </w:rPr>
        <w:t xml:space="preserve">Use of Certificate</w:t>
      </w:r>
      <w:r>
        <w:t xml:space="preserve">: An obligation and warranty to install the Certificate only on servers that are accessible at the subjectAltName(s) listed in the Certificate, and to use the Certificate solely in compliance with all applicable laws and solely in accordance with the Subscriber Agreement or Terms of Use;</w:t>
      </w:r>
    </w:p>
    <w:p>
      <w:pPr>
        <w:numPr>
          <w:ilvl w:val="0"/>
          <w:numId w:val="1055"/>
        </w:numPr>
      </w:pPr>
      <w:r>
        <w:rPr>
          <w:b/>
        </w:rPr>
        <w:t xml:space="preserve">Reporting and Revocation</w:t>
      </w:r>
      <w:r>
        <w:t xml:space="preserve">: An obligation and warranty to: (a) promptly request revocation of the Certificate, and cease using it and its associated Private Key, if there is any actual or suspected misuse or compromise of the Subscriber’s Private Key associated with the Public Key included in the Certificate, and (b) promptly request revocation of the Certificate, and cease using it, if any information in the Certificate is or becomes incorrect or inaccurate;</w:t>
      </w:r>
    </w:p>
    <w:p>
      <w:pPr>
        <w:numPr>
          <w:ilvl w:val="0"/>
          <w:numId w:val="1055"/>
        </w:numPr>
      </w:pPr>
      <w:r>
        <w:rPr>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055"/>
        </w:numPr>
      </w:pPr>
      <w:r>
        <w:rPr>
          <w:b/>
        </w:rPr>
        <w:t xml:space="preserve">Responsiveness</w:t>
      </w:r>
      <w:r>
        <w:t xml:space="preserve">: An obligation to respond to the CA’s instructions concerning Key Compromise or Certificate misuse within a specified time period.</w:t>
      </w:r>
    </w:p>
    <w:p>
      <w:pPr>
        <w:numPr>
          <w:ilvl w:val="0"/>
          <w:numId w:val="1055"/>
        </w:numPr>
      </w:pPr>
      <w:r>
        <w:rPr>
          <w:b/>
        </w:rPr>
        <w:t xml:space="preserve">Acknowledgment and Acceptance</w:t>
      </w:r>
      <w:r>
        <w:t xml:space="preserve">: An acknowledgment and acceptance that the CA is entitled to revoke the certificate immediately if the Applicant were to violate the terms of the Subscriber Agreement or Terms of Use or if the CA discovers that the Certificate is being used to enable criminal activities such as phishing attacks, fraud, or the distribution of malware.</w:t>
      </w:r>
    </w:p>
    <w:p>
      <w:pPr>
        <w:pStyle w:val="Heading3"/>
      </w:pPr>
      <w:bookmarkStart w:id="340" w:name="X367e52e552c6d2d714a4258e2d0fe2946e11be1"/>
      <w:r>
        <w:t xml:space="preserve">9.6.4 Relying party representations and warranties</w:t>
      </w:r>
      <w:bookmarkEnd w:id="340"/>
    </w:p>
    <w:p>
      <w:pPr>
        <w:pStyle w:val="Heading3"/>
      </w:pPr>
      <w:bookmarkStart w:id="341" w:name="X81a07c4cdefd2590d115b44bbc02349ebc1de6a"/>
      <w:r>
        <w:t xml:space="preserve">9.6.5 Representations and warranties of other participants</w:t>
      </w:r>
      <w:bookmarkEnd w:id="341"/>
    </w:p>
    <w:p>
      <w:pPr>
        <w:pStyle w:val="Heading2"/>
      </w:pPr>
      <w:bookmarkStart w:id="342" w:name="disclaimers-of-warranties"/>
      <w:r>
        <w:t xml:space="preserve">9.7 Disclaimers of warranties</w:t>
      </w:r>
      <w:bookmarkEnd w:id="342"/>
    </w:p>
    <w:p>
      <w:pPr>
        <w:pStyle w:val="Heading2"/>
      </w:pPr>
      <w:bookmarkStart w:id="343" w:name="limitations-of-liability"/>
      <w:r>
        <w:t xml:space="preserve">9.8 Limitations of liability</w:t>
      </w:r>
      <w:bookmarkEnd w:id="343"/>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pPr>
        <w:pStyle w:val="Heading2"/>
      </w:pPr>
      <w:bookmarkStart w:id="344" w:name="indemnities"/>
      <w:r>
        <w:t xml:space="preserve">9.9 Indemnities</w:t>
      </w:r>
      <w:bookmarkEnd w:id="344"/>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pPr>
        <w:pStyle w:val="Heading2"/>
      </w:pPr>
      <w:bookmarkStart w:id="345" w:name="term-and-termination"/>
      <w:r>
        <w:t xml:space="preserve">9.10 Term and termination</w:t>
      </w:r>
      <w:bookmarkEnd w:id="345"/>
    </w:p>
    <w:p>
      <w:pPr>
        <w:pStyle w:val="Heading3"/>
      </w:pPr>
      <w:bookmarkStart w:id="346" w:name="term"/>
      <w:r>
        <w:t xml:space="preserve">9.10.1 Term</w:t>
      </w:r>
      <w:bookmarkEnd w:id="346"/>
    </w:p>
    <w:p>
      <w:pPr>
        <w:pStyle w:val="Heading3"/>
      </w:pPr>
      <w:bookmarkStart w:id="347" w:name="termination"/>
      <w:r>
        <w:t xml:space="preserve">9.10.2 Termination</w:t>
      </w:r>
      <w:bookmarkEnd w:id="347"/>
    </w:p>
    <w:p>
      <w:pPr>
        <w:pStyle w:val="Heading3"/>
      </w:pPr>
      <w:bookmarkStart w:id="348" w:name="effect-of-termination-and-survival"/>
      <w:r>
        <w:t xml:space="preserve">9.10.3 Effect of termination and survival</w:t>
      </w:r>
      <w:bookmarkEnd w:id="348"/>
    </w:p>
    <w:p>
      <w:pPr>
        <w:pStyle w:val="Heading2"/>
      </w:pPr>
      <w:bookmarkStart w:id="349" w:name="X0140e98a92e058e8db98938b43fd6eb31de39e1"/>
      <w:r>
        <w:t xml:space="preserve">9.11 Individual notices and communications with participants</w:t>
      </w:r>
      <w:bookmarkEnd w:id="349"/>
    </w:p>
    <w:p>
      <w:pPr>
        <w:pStyle w:val="Heading2"/>
      </w:pPr>
      <w:bookmarkStart w:id="350" w:name="amendments"/>
      <w:r>
        <w:t xml:space="preserve">9.12 Amendments</w:t>
      </w:r>
      <w:bookmarkEnd w:id="350"/>
    </w:p>
    <w:p>
      <w:pPr>
        <w:pStyle w:val="Heading3"/>
      </w:pPr>
      <w:bookmarkStart w:id="351" w:name="procedure-for-amendment"/>
      <w:r>
        <w:t xml:space="preserve">9.12.1 Procedure for amendment</w:t>
      </w:r>
      <w:bookmarkEnd w:id="351"/>
    </w:p>
    <w:p>
      <w:pPr>
        <w:pStyle w:val="Heading3"/>
      </w:pPr>
      <w:bookmarkStart w:id="352" w:name="notification-mechanism-and-period"/>
      <w:r>
        <w:t xml:space="preserve">9.12.2 Notification mechanism and period</w:t>
      </w:r>
      <w:bookmarkEnd w:id="352"/>
    </w:p>
    <w:p>
      <w:pPr>
        <w:pStyle w:val="Heading3"/>
      </w:pPr>
      <w:bookmarkStart w:id="353" w:name="X74c31f9e379f5dc232435e33cf54f2d1380d5a6"/>
      <w:r>
        <w:t xml:space="preserve">9.12.3 Circumstances under which OID must be changed</w:t>
      </w:r>
      <w:bookmarkEnd w:id="353"/>
    </w:p>
    <w:p>
      <w:pPr>
        <w:pStyle w:val="Heading2"/>
      </w:pPr>
      <w:bookmarkStart w:id="354" w:name="dispute-resolution-provisions"/>
      <w:r>
        <w:t xml:space="preserve">9.13 Dispute resolution provisions</w:t>
      </w:r>
      <w:bookmarkEnd w:id="354"/>
    </w:p>
    <w:p>
      <w:pPr>
        <w:pStyle w:val="Heading2"/>
      </w:pPr>
      <w:bookmarkStart w:id="355" w:name="governing-law"/>
      <w:r>
        <w:t xml:space="preserve">9.14 Governing law</w:t>
      </w:r>
      <w:bookmarkEnd w:id="355"/>
    </w:p>
    <w:p>
      <w:pPr>
        <w:pStyle w:val="Heading2"/>
      </w:pPr>
      <w:bookmarkStart w:id="356" w:name="compliance-with-applicable-law"/>
      <w:r>
        <w:t xml:space="preserve">9.15 Compliance with applicable law</w:t>
      </w:r>
      <w:bookmarkEnd w:id="356"/>
    </w:p>
    <w:p>
      <w:pPr>
        <w:pStyle w:val="Heading2"/>
      </w:pPr>
      <w:bookmarkStart w:id="357" w:name="miscellaneous-provisions"/>
      <w:r>
        <w:t xml:space="preserve">9.16 Miscellaneous provisions</w:t>
      </w:r>
      <w:bookmarkEnd w:id="357"/>
    </w:p>
    <w:p>
      <w:pPr>
        <w:pStyle w:val="Heading3"/>
      </w:pPr>
      <w:bookmarkStart w:id="358" w:name="entire-agreement"/>
      <w:r>
        <w:t xml:space="preserve">9.16.1 Entire agreement</w:t>
      </w:r>
      <w:bookmarkEnd w:id="358"/>
    </w:p>
    <w:p>
      <w:pPr>
        <w:pStyle w:val="Heading3"/>
      </w:pPr>
      <w:bookmarkStart w:id="359" w:name="assignment"/>
      <w:r>
        <w:t xml:space="preserve">9.16.2 Assignment</w:t>
      </w:r>
      <w:bookmarkEnd w:id="359"/>
    </w:p>
    <w:p>
      <w:pPr>
        <w:pStyle w:val="Heading3"/>
      </w:pPr>
      <w:bookmarkStart w:id="360" w:name="severability"/>
      <w:r>
        <w:t xml:space="preserve">9.16.3 Severability</w:t>
      </w:r>
      <w:bookmarkEnd w:id="360"/>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 questions@cabforum.org and receiving confirmation that it has been posted to the Public Mailing List and is indexed in the Public Mail Archives available at https://cabforum.org/pipermail/public/ (or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pPr>
        <w:pStyle w:val="Heading3"/>
      </w:pPr>
      <w:bookmarkStart w:id="361" w:name="Xf6b06df0a2b7e36504e38f8f6fd26311ad06381"/>
      <w:r>
        <w:t xml:space="preserve">9.16.4 Enforcement (attorneys’ fees and waiver of rights)</w:t>
      </w:r>
      <w:bookmarkEnd w:id="361"/>
    </w:p>
    <w:p>
      <w:pPr>
        <w:pStyle w:val="Heading3"/>
      </w:pPr>
      <w:bookmarkStart w:id="362" w:name="force-majeure"/>
      <w:r>
        <w:t xml:space="preserve">9.16.5 Force Majeure</w:t>
      </w:r>
      <w:bookmarkEnd w:id="362"/>
    </w:p>
    <w:p>
      <w:pPr>
        <w:pStyle w:val="Heading2"/>
      </w:pPr>
      <w:bookmarkStart w:id="363" w:name="other-provisions"/>
      <w:r>
        <w:t xml:space="preserve">9.17 Other provisions</w:t>
      </w:r>
      <w:bookmarkEnd w:id="363"/>
    </w:p>
    <w:p>
      <w:pPr>
        <w:pStyle w:val="Heading1"/>
      </w:pPr>
      <w:bookmarkStart w:id="364" w:name="appendix-a-rfc-6844-errata-5065"/>
      <w:r>
        <w:t xml:space="preserve">APPENDIX A – RFC 6844 Errata 5065</w:t>
      </w:r>
      <w:bookmarkEnd w:id="364"/>
    </w:p>
    <w:p>
      <w:pPr>
        <w:pStyle w:val="FirstParagraph"/>
      </w:pPr>
      <w:r>
        <w:t xml:space="preserve">The following errata report has been held for document update for RFC6844,</w:t>
      </w:r>
      <w:r>
        <w:t xml:space="preserve"> </w:t>
      </w:r>
      <w:r>
        <w:t xml:space="preserve">“</w:t>
      </w:r>
      <w:r>
        <w:t xml:space="preserve">DNS Certification Authority Authorization (CAA) Resource Record</w:t>
      </w:r>
      <w:r>
        <w:t xml:space="preserve">”</w:t>
      </w:r>
      <w:r>
        <w:t xml:space="preserve">.</w:t>
      </w:r>
    </w:p>
    <w:p>
      <w:r>
        <w:pict>
          <v:rect style="width:0;height:1.5pt" o:hralign="center" o:hrstd="t" o:hr="t"/>
        </w:pict>
      </w:r>
    </w:p>
    <w:p>
      <w:pPr>
        <w:pStyle w:val="FirstParagraph"/>
      </w:pPr>
      <w:r>
        <w:t xml:space="preserve">You may review the report below and at: http://www.rfc-editor.org/errata/eid5065</w:t>
      </w:r>
    </w:p>
    <w:p>
      <w:r>
        <w:pict>
          <v:rect style="width:0;height:1.5pt" o:hralign="center" o:hrstd="t" o:hr="t"/>
        </w:pict>
      </w:r>
    </w:p>
    <w:p>
      <w:pPr>
        <w:pStyle w:val="FirstParagraph"/>
      </w:pPr>
      <w:r>
        <w:t xml:space="preserve">Status: Held for Document Update</w:t>
      </w:r>
      <w:r>
        <w:t xml:space="preserve"> </w:t>
      </w:r>
      <w:r>
        <w:t xml:space="preserve">Type: Technical</w:t>
      </w:r>
    </w:p>
    <w:p>
      <w:pPr>
        <w:pStyle w:val="BodyText"/>
      </w:pPr>
      <w:r>
        <w:t xml:space="preserve">Reported by: Phillip Hallam-Baker</w:t>
      </w:r>
      <w:r>
        <w:t xml:space="preserve"> </w:t>
      </w:r>
      <w:hyperlink r:id="rId365">
        <w:r>
          <w:rPr>
            <w:rStyle w:val="Hyperlink"/>
          </w:rPr>
          <w:t xml:space="preserve">philliph@comodo.com</w:t>
        </w:r>
      </w:hyperlink>
      <w:r>
        <w:t xml:space="preserve"> </w:t>
      </w:r>
      <w:r>
        <w:t xml:space="preserve">Date Reported: 2017-07-10</w:t>
      </w:r>
      <w:r>
        <w:t xml:space="preserve"> </w:t>
      </w:r>
      <w:r>
        <w:t xml:space="preserve">Held by: EKR (IESG)</w:t>
      </w:r>
    </w:p>
    <w:p>
      <w:pPr>
        <w:pStyle w:val="BodyText"/>
      </w:pPr>
      <w:r>
        <w:t xml:space="preserve">Section: 4</w:t>
      </w:r>
    </w:p>
    <w:p>
      <w:pPr>
        <w:pStyle w:val="Heading2"/>
      </w:pPr>
      <w:bookmarkStart w:id="366" w:name="original-text"/>
      <w:r>
        <w:t xml:space="preserve">Original Text</w:t>
      </w:r>
      <w:bookmarkEnd w:id="366"/>
    </w:p>
    <w:p>
      <w:pPr>
        <w:pStyle w:val="SourceCode"/>
      </w:pPr>
      <w:r>
        <w:rPr>
          <w:rStyle w:val="VerbatimChar"/>
        </w:rPr>
        <w:t xml:space="preserve">   Let CAA(X) be the record set returned in response to performing a CAA</w:t>
      </w:r>
      <w:r>
        <w:br/>
      </w:r>
      <w:r>
        <w:rPr>
          <w:rStyle w:val="VerbatimChar"/>
        </w:rPr>
        <w:t xml:space="preserve">   record query on the label X, P(X) be the DNS label immediately above X in</w:t>
      </w:r>
      <w:r>
        <w:br/>
      </w:r>
      <w:r>
        <w:rPr>
          <w:rStyle w:val="VerbatimChar"/>
        </w:rPr>
        <w:t xml:space="preserve">   the DNS hierarchy, and A(X) be the target of a CNAME or DNAME alias record</w:t>
      </w:r>
      <w:r>
        <w:br/>
      </w:r>
      <w:r>
        <w:rPr>
          <w:rStyle w:val="VerbatimChar"/>
        </w:rPr>
        <w:t xml:space="preserve">   specified at the label X.</w:t>
      </w:r>
      <w:r>
        <w:br/>
      </w:r>
      <w:r>
        <w:br/>
      </w:r>
      <w:r>
        <w:rPr>
          <w:rStyle w:val="VerbatimChar"/>
        </w:rPr>
        <w:t xml:space="preserve">   o  If CAA(X) is not empty, R(X) = CAA (X), otherwise</w:t>
      </w:r>
      <w:r>
        <w:br/>
      </w:r>
      <w:r>
        <w:rPr>
          <w:rStyle w:val="VerbatimChar"/>
        </w:rPr>
        <w:t xml:space="preserve">   o  If A(X) is not null, and R(A(X)) is not empty, then R(X) =  R(A(X)),</w:t>
      </w:r>
      <w:r>
        <w:br/>
      </w:r>
      <w:r>
        <w:rPr>
          <w:rStyle w:val="VerbatimChar"/>
        </w:rPr>
        <w:t xml:space="preserve">   otherwise</w:t>
      </w:r>
      <w:r>
        <w:br/>
      </w:r>
      <w:r>
        <w:rPr>
          <w:rStyle w:val="VerbatimChar"/>
        </w:rPr>
        <w:t xml:space="preserve">   o  If X is not a top-level domain, then R(X) = R(P(X)), otherwise</w:t>
      </w:r>
      <w:r>
        <w:br/>
      </w:r>
      <w:r>
        <w:rPr>
          <w:rStyle w:val="VerbatimChar"/>
        </w:rPr>
        <w:t xml:space="preserve">   o  R(X) is empty.</w:t>
      </w:r>
    </w:p>
    <w:p>
      <w:pPr>
        <w:pStyle w:val="Heading2"/>
      </w:pPr>
      <w:bookmarkStart w:id="367" w:name="corrected-text"/>
      <w:r>
        <w:t xml:space="preserve">Corrected Text</w:t>
      </w:r>
      <w:bookmarkEnd w:id="367"/>
    </w:p>
    <w:p>
      <w:pPr>
        <w:pStyle w:val="SourceCode"/>
      </w:pPr>
      <w:r>
        <w:rPr>
          <w:rStyle w:val="VerbatimChar"/>
        </w:rPr>
        <w:t xml:space="preserve">   Let CAA(X) be the record set returned in response to performing a CAA</w:t>
      </w:r>
      <w:r>
        <w:br/>
      </w:r>
      <w:r>
        <w:rPr>
          <w:rStyle w:val="VerbatimChar"/>
        </w:rPr>
        <w:t xml:space="preserve">   record query on the label X, P(X) be the DNS label immediately above X in</w:t>
      </w:r>
      <w:r>
        <w:br/>
      </w:r>
      <w:r>
        <w:rPr>
          <w:rStyle w:val="VerbatimChar"/>
        </w:rPr>
        <w:t xml:space="preserve">   the DNS hierarchy, and A(X) be the target of a CNAME or DNAME alias record</w:t>
      </w:r>
      <w:r>
        <w:br/>
      </w:r>
      <w:r>
        <w:rPr>
          <w:rStyle w:val="VerbatimChar"/>
        </w:rPr>
        <w:t xml:space="preserve">   chain specified at the label X.</w:t>
      </w:r>
      <w:r>
        <w:br/>
      </w:r>
      <w:r>
        <w:br/>
      </w:r>
      <w:r>
        <w:rPr>
          <w:rStyle w:val="VerbatimChar"/>
        </w:rPr>
        <w:t xml:space="preserve">   o  If CAA(X) is not empty, R(X) = CAA (X), otherwise</w:t>
      </w:r>
      <w:r>
        <w:br/>
      </w:r>
      <w:r>
        <w:rPr>
          <w:rStyle w:val="VerbatimChar"/>
        </w:rPr>
        <w:t xml:space="preserve">   o  If A(X) is not null, and CAA(A(X)) is not empty, then R(X) =  CAA(A(X)),</w:t>
      </w:r>
      <w:r>
        <w:br/>
      </w:r>
      <w:r>
        <w:rPr>
          <w:rStyle w:val="VerbatimChar"/>
        </w:rPr>
        <w:t xml:space="preserve">   otherwise</w:t>
      </w:r>
      <w:r>
        <w:br/>
      </w:r>
      <w:r>
        <w:rPr>
          <w:rStyle w:val="VerbatimChar"/>
        </w:rPr>
        <w:t xml:space="preserve">   o  If X is not a top-level domain, then R(X) = R(P(X)), otherwise</w:t>
      </w:r>
      <w:r>
        <w:br/>
      </w:r>
      <w:r>
        <w:rPr>
          <w:rStyle w:val="VerbatimChar"/>
        </w:rPr>
        <w:t xml:space="preserve">   o  R(X) is empty.</w:t>
      </w:r>
      <w:r>
        <w:br/>
      </w:r>
      <w:r>
        <w:br/>
      </w:r>
      <w:r>
        <w:rPr>
          <w:rStyle w:val="VerbatimChar"/>
        </w:rPr>
        <w:t xml:space="preserve">  Thus, when a search at node X returns a CNAME record, the CA will follow the</w:t>
      </w:r>
      <w:r>
        <w:br/>
      </w:r>
      <w:r>
        <w:rPr>
          <w:rStyle w:val="VerbatimChar"/>
        </w:rPr>
        <w:t xml:space="preserve">  CNAME record chain to its target. If the target label contains a CAA record,</w:t>
      </w:r>
      <w:r>
        <w:br/>
      </w:r>
      <w:r>
        <w:rPr>
          <w:rStyle w:val="VerbatimChar"/>
        </w:rPr>
        <w:t xml:space="preserve">  it is returned.</w:t>
      </w:r>
      <w:r>
        <w:br/>
      </w:r>
      <w:r>
        <w:br/>
      </w:r>
      <w:r>
        <w:rPr>
          <w:rStyle w:val="VerbatimChar"/>
        </w:rPr>
        <w:t xml:space="preserve">  Otherwise, the CA continues the search at the parent of node X.</w:t>
      </w:r>
      <w:r>
        <w:br/>
      </w:r>
      <w:r>
        <w:br/>
      </w:r>
      <w:r>
        <w:rPr>
          <w:rStyle w:val="VerbatimChar"/>
        </w:rPr>
        <w:t xml:space="preserve">  Note that the search does not include the parent of a target of a CNAME</w:t>
      </w:r>
      <w:r>
        <w:br/>
      </w:r>
      <w:r>
        <w:rPr>
          <w:rStyle w:val="VerbatimChar"/>
        </w:rPr>
        <w:t xml:space="preserve">  record (except when the CNAME points back to its own path).</w:t>
      </w:r>
      <w:r>
        <w:br/>
      </w:r>
      <w:r>
        <w:br/>
      </w:r>
      <w:r>
        <w:rPr>
          <w:rStyle w:val="VerbatimChar"/>
        </w:rPr>
        <w:t xml:space="preserve">  To prevent resource exhaustion attacks, CAs SHOULD limit the length of CNAME</w:t>
      </w:r>
      <w:r>
        <w:br/>
      </w:r>
      <w:r>
        <w:rPr>
          <w:rStyle w:val="VerbatimChar"/>
        </w:rPr>
        <w:t xml:space="preserve">  chains that are accepted. However CAs MUST process CNAME chains that contain</w:t>
      </w:r>
      <w:r>
        <w:br/>
      </w:r>
      <w:r>
        <w:rPr>
          <w:rStyle w:val="VerbatimChar"/>
        </w:rPr>
        <w:t xml:space="preserve">  8 or fewer CNAME records.</w:t>
      </w:r>
    </w:p>
    <w:p>
      <w:pPr>
        <w:pStyle w:val="Heading1"/>
      </w:pPr>
      <w:bookmarkStart w:id="368" w:name="appendix-b-caa-contact-tag"/>
      <w:r>
        <w:t xml:space="preserve">APPENDIX B – CAA Contact Tag</w:t>
      </w:r>
      <w:bookmarkEnd w:id="368"/>
    </w:p>
    <w:p>
      <w:pPr>
        <w:pStyle w:val="FirstParagraph"/>
      </w:pPr>
      <w:r>
        <w:t xml:space="preserve">These methods allow domain owners to publish contact information in DNS for the purpose of validating domain control.</w:t>
      </w:r>
    </w:p>
    <w:p>
      <w:pPr>
        <w:pStyle w:val="Heading2"/>
      </w:pPr>
      <w:bookmarkStart w:id="369" w:name="b.1.-caa-methods"/>
      <w:r>
        <w:t xml:space="preserve">B.1. CAA Methods</w:t>
      </w:r>
      <w:bookmarkEnd w:id="369"/>
    </w:p>
    <w:p>
      <w:pPr>
        <w:pStyle w:val="Heading3"/>
      </w:pPr>
      <w:bookmarkStart w:id="370" w:name="b.1.1.-caa-contactemail-property"/>
      <w:r>
        <w:t xml:space="preserve">B.1.1. CAA contactemail Property</w:t>
      </w:r>
      <w:bookmarkEnd w:id="370"/>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SourceCode"/>
      </w:pPr>
      <w:r>
        <w:rPr>
          <w:rStyle w:val="VerbatimChar"/>
        </w:rPr>
        <w:t xml:space="preserve">$ORIGIN example.com.</w:t>
      </w:r>
      <w:r>
        <w:br/>
      </w:r>
      <w:r>
        <w:rPr>
          <w:rStyle w:val="VerbatimChar"/>
        </w:rPr>
        <w:t xml:space="preserve">               CAA 0 contactemail "domainowner@example.com"</w:t>
      </w:r>
    </w:p>
    <w:p>
      <w:pPr>
        <w:pStyle w:val="FirstParagraph"/>
      </w:pPr>
      <w:r>
        <w:t xml:space="preserve">The contactemail property MAY be critical, if the domain owner does not want CAs who do not understand it to issue certificates for the domain.</w:t>
      </w:r>
    </w:p>
    <w:p>
      <w:pPr>
        <w:pStyle w:val="Heading3"/>
      </w:pPr>
      <w:bookmarkStart w:id="371" w:name="b.1.2.-caa-contactphone-property"/>
      <w:r>
        <w:t xml:space="preserve">B.1.2. CAA contactphone Property</w:t>
      </w:r>
      <w:bookmarkEnd w:id="371"/>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BodyText"/>
      </w:pPr>
      <w:r>
        <w:t xml:space="preserve">$ORIGIN example.com.</w:t>
      </w:r>
      <w:r>
        <w:t xml:space="preserve"> </w:t>
      </w:r>
      <w:r>
        <w:t xml:space="preserve">CAA 0 contactphone</w:t>
      </w:r>
      <w:r>
        <w:t xml:space="preserve"> </w:t>
      </w:r>
      <w:r>
        <w:t xml:space="preserve">“</w:t>
      </w:r>
      <w:r>
        <w:t xml:space="preserve">+1 (555) 123-4567</w:t>
      </w:r>
      <w:r>
        <w:t xml:space="preserve">”</w:t>
      </w:r>
    </w:p>
    <w:p>
      <w:pPr>
        <w:pStyle w:val="BodyText"/>
      </w:pPr>
      <w:r>
        <w:t xml:space="preserve">The contactphone property MAY be critical if the domain owner does not want CAs who do not understand it to issue certificates for the domain.</w:t>
      </w:r>
    </w:p>
    <w:p>
      <w:pPr>
        <w:pStyle w:val="Heading2"/>
      </w:pPr>
      <w:bookmarkStart w:id="372" w:name="b.2.-dns-txt-methods"/>
      <w:r>
        <w:t xml:space="preserve">B.2. DNS TXT Methods</w:t>
      </w:r>
      <w:bookmarkEnd w:id="372"/>
    </w:p>
    <w:p>
      <w:pPr>
        <w:pStyle w:val="Heading3"/>
      </w:pPr>
      <w:bookmarkStart w:id="373" w:name="b.2.1.-dns-txt-record-email-contact"/>
      <w:r>
        <w:t xml:space="preserve">B.2.1. DNS TXT Record Email Contact</w:t>
      </w:r>
      <w:bookmarkEnd w:id="373"/>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p>
      <w:pPr>
        <w:pStyle w:val="Heading3"/>
      </w:pPr>
      <w:bookmarkStart w:id="374" w:name="b.2.2.-dns-txt-record-phone-contact"/>
      <w:r>
        <w:t xml:space="preserve">B.2.2. DNS TXT Record Phone Contact</w:t>
      </w:r>
      <w:bookmarkEnd w:id="374"/>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p>
      <w:pPr>
        <w:pStyle w:val="Heading1"/>
      </w:pPr>
      <w:bookmarkStart w:id="375" w:name="X047c1cae482f81e5ebf20c0c535f74ea81fc96a"/>
      <w:r>
        <w:t xml:space="preserve">APPENDIX C – Issuance of Certificates for .onion Domain Names</w:t>
      </w:r>
      <w:bookmarkEnd w:id="375"/>
    </w:p>
    <w:p>
      <w:pPr>
        <w:pStyle w:val="FirstParagraph"/>
      </w:pPr>
      <w:r>
        <w:t xml:space="preserve">This appendix defines permissible verification procedures for including one or more RFC 7686</w:t>
      </w:r>
      <w:r>
        <w:t xml:space="preserve"> </w:t>
      </w:r>
      <w:r>
        <w:t xml:space="preserve">“</w:t>
      </w:r>
      <w:r>
        <w:t xml:space="preserve">.onion</w:t>
      </w:r>
      <w:r>
        <w:t xml:space="preserve">”</w:t>
      </w:r>
      <w:r>
        <w:t xml:space="preserve"> </w:t>
      </w:r>
      <w:r>
        <w:t xml:space="preserve">special-use Domain Names in a Certificate.</w:t>
      </w:r>
    </w:p>
    <w:p>
      <w:pPr>
        <w:numPr>
          <w:ilvl w:val="0"/>
          <w:numId w:val="1056"/>
        </w:numPr>
      </w:pPr>
      <w:r>
        <w:t xml:space="preserve">The Domain Name MUST contain at least two labels, where the right-most label is</w:t>
      </w:r>
      <w:r>
        <w:t xml:space="preserve"> </w:t>
      </w:r>
      <w:r>
        <w:t xml:space="preserve">“</w:t>
      </w:r>
      <w:r>
        <w:t xml:space="preserve">onion</w:t>
      </w:r>
      <w:r>
        <w:t xml:space="preserve">”</w:t>
      </w:r>
      <w:r>
        <w:t xml:space="preserve">, and the label immediately preceding the right-most</w:t>
      </w:r>
      <w:r>
        <w:t xml:space="preserve"> </w:t>
      </w:r>
      <w:r>
        <w:t xml:space="preserve">“</w:t>
      </w:r>
      <w:r>
        <w:t xml:space="preserve">onion</w:t>
      </w:r>
      <w:r>
        <w:t xml:space="preserve">”</w:t>
      </w:r>
      <w:r>
        <w:t xml:space="preserve"> </w:t>
      </w:r>
      <w:r>
        <w:t xml:space="preserve">label is a valid Version 3 Onion Address, as defined in section 6 of the Tor Rendezvous Specification - Version 3 located at</w:t>
      </w:r>
      <w:r>
        <w:t xml:space="preserve"> </w:t>
      </w:r>
      <w:hyperlink r:id="rId376">
        <w:r>
          <w:rPr>
            <w:rStyle w:val="Hyperlink"/>
          </w:rPr>
          <w:t xml:space="preserve">https://spec.torproject.org/rend-spec-v3</w:t>
        </w:r>
      </w:hyperlink>
      <w:r>
        <w:t xml:space="preserve">.</w:t>
      </w:r>
    </w:p>
    <w:p>
      <w:pPr>
        <w:numPr>
          <w:ilvl w:val="0"/>
          <w:numId w:val="1056"/>
        </w:numPr>
      </w:pPr>
      <w:r>
        <w:t xml:space="preserve">The CA MUST verify the Applicant’s control over the .onion Domain Name using at least one of the methods listed below:</w:t>
      </w:r>
    </w:p>
    <w:p>
      <w:pPr>
        <w:numPr>
          <w:ilvl w:val="1"/>
          <w:numId w:val="1057"/>
        </w:numPr>
      </w:pPr>
      <w:r>
        <w:t xml:space="preserve">The CA MAY verify the Applicant’s control over the .onion service by using method 3.2.2.4.6, Agreed‐Upon Change to Website. If this method is replaced by a newer version(s) of Agreed-Upon Change to Website, the timelines for use of new and existing version of this method that are defined in section 3.2.2.4 SHALL apply.</w:t>
      </w:r>
    </w:p>
    <w:p>
      <w:pPr>
        <w:numPr>
          <w:ilvl w:val="1"/>
          <w:numId w:val="1057"/>
        </w:numPr>
      </w:pPr>
      <w:r>
        <w:t xml:space="preserve">The CA MAY verify the Applicant’s control over the .onion service by having the Applicant provide a Certificate Request signed using the .onion public key if the Attributes section of the certificationRequestInfo contains:</w:t>
      </w:r>
    </w:p>
    <w:p>
      <w:pPr>
        <w:numPr>
          <w:ilvl w:val="2"/>
          <w:numId w:val="1058"/>
        </w:numPr>
      </w:pPr>
      <w:r>
        <w:t xml:space="preserve">A caSigningNonce attribute that contains a Random Value that is generated by the CA; and</w:t>
      </w:r>
    </w:p>
    <w:p>
      <w:pPr>
        <w:numPr>
          <w:ilvl w:val="2"/>
          <w:numId w:val="1058"/>
        </w:numPr>
      </w:pPr>
      <w:r>
        <w:t xml:space="preserve">An applicantSigningNonce attribute that contains a single value with at least 64-bits of entropy that is generated by the Applicant.</w:t>
      </w:r>
    </w:p>
    <w:p>
      <w:pPr>
        <w:pStyle w:val="FirstParagraph"/>
      </w:pPr>
      <w:r>
        <w:t xml:space="preserve">The signing nonce attributes have the following format:</w:t>
      </w:r>
    </w:p>
    <w:p>
      <w:p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pStyle w:val="FirstParagraph"/>
      </w:pPr>
      <w:r>
        <w:t xml:space="preserve">The Random Value SHALL remain valid for use in a confirming response for no more than 30 days from its creation. The CPS MAY specify a shorter validity period for Random Values.</w:t>
      </w:r>
      <w:r>
        <w:t xml:space="preserve"> </w:t>
      </w:r>
      <w:r>
        <w:t xml:space="preserve">The CA MAY include a wildcard character in the Subject Alternative Name Extension and Subject Common Name Field as the left-most character in the .onion Domain Name provided inclusion of the wildcard character complies with Section 3.2.2.6 of these Requirements.</w:t>
      </w:r>
    </w:p>
    <w:p>
      <w:pPr>
        <w:numPr>
          <w:ilvl w:val="0"/>
          <w:numId w:val="1059"/>
        </w:numPr>
      </w:pPr>
      <w:r>
        <w:t xml:space="preserve">When a Certificate includes an FQDN where</w:t>
      </w:r>
      <w:r>
        <w:t xml:space="preserve"> </w:t>
      </w:r>
      <w:r>
        <w:t xml:space="preserve">“</w:t>
      </w:r>
      <w:r>
        <w:t xml:space="preserve">onion</w:t>
      </w:r>
      <w:r>
        <w:t xml:space="preserve">”</w:t>
      </w:r>
      <w:r>
        <w:t xml:space="preserve"> </w:t>
      </w:r>
      <w:r>
        <w:t xml:space="preserve">is in the right-most label of the Domain Name, the Domain Name shall not be considered an Internal Name provided that the Certificate was issued in compliance with this Appendix C.</w:t>
      </w:r>
    </w:p>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6">
    <w:p>
      <w:pPr>
        <w:pStyle w:val="FootnoteText"/>
      </w:pPr>
      <w:r>
        <w:rPr>
          <w:rStyle w:val="FootnoteReference"/>
        </w:rPr>
        <w:footnoteRef/>
      </w:r>
      <w:r>
        <w:t xml:space="preserve"> </w:t>
      </w:r>
      <w:r>
        <w:t xml:space="preserve">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277">
    <w:p>
      <w:pPr>
        <w:pStyle w:val="FootnoteText"/>
      </w:pPr>
      <w:r>
        <w:rPr>
          <w:rStyle w:val="FootnoteReference"/>
        </w:rPr>
        <w:footnoteRef/>
      </w:r>
      <w:r>
        <w:t xml:space="preserve"> </w:t>
      </w:r>
      <w:r>
        <w:t xml:space="preserve">Generally Extended Key Usage will only appear within end entity certificates (as highlighted in RFC 5280 (4.2.1.12)), however, Subordinate CAs MAY include the extension to further protect relying parties until the use of the extension is consistent between Application Software Suppliers whose software is used by a substantial portion of Relying Parties worldwide.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7">
    <w:nsid w:val="b3cbbdee"/>
    <w:multiLevelType w:val="multilevel"/>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start w:val="7"/>
      <w:numFmt w:val="lowerLetter"/>
      <w:lvlText w:val="%8."/>
      <w:lvlJc w:val="left"/>
      <w:pPr>
        <w:tabs>
          <w:tab w:val="num" w:pos="5040"/>
        </w:tabs>
        <w:ind w:left="5520" w:hanging="480"/>
      </w:pPr>
    </w:lvl>
    <w:lvl w:ilvl="8">
      <w:start w:val="7"/>
      <w:numFmt w:val="lowerLetter"/>
      <w:lvlText w:val="%9."/>
      <w:lvlJc w:val="left"/>
      <w:pPr>
        <w:tabs>
          <w:tab w:val="num" w:pos="5760"/>
        </w:tabs>
        <w:ind w:left="6240" w:hanging="480"/>
      </w:pPr>
    </w:lvl>
  </w:abstractNum>
  <w:abstractNum w:abstractNumId="99511">
    <w:nsid w:val="4fbe019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531">
    <w:nsid w:val="91a27d8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413">
    <w:nsid w:val="615f1ed2"/>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1"/>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1"/>
  </w:num>
  <w:num w:numId="1033">
    <w:abstractNumId w:val="991"/>
  </w:num>
  <w:num w:numId="10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1"/>
  </w:num>
  <w:num w:numId="1038">
    <w:abstractNumId w:val="997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3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1"/>
  </w:num>
  <w:num w:numId="1041">
    <w:abstractNumId w:val="991"/>
  </w:num>
  <w:num w:numId="104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47" Target="http://csrc.nist.gov/publications/nistpubs/800-89/SP-800-89_November2006.pdf" TargetMode="External" /><Relationship Type="http://schemas.openxmlformats.org/officeDocument/2006/relationships/hyperlink" Id="rId97" Target="http://publicsuffix.org/" TargetMode="External" /><Relationship Type="http://schemas.openxmlformats.org/officeDocument/2006/relationships/hyperlink" Id="rId42" Target="http://tools.ietf.org/html/rfc6844" TargetMode="External" /><Relationship Type="http://schemas.openxmlformats.org/officeDocument/2006/relationships/hyperlink" Id="rId232" Target="http://wiki.debian.org/SSLkeys" TargetMode="External" /><Relationship Type="http://schemas.openxmlformats.org/officeDocument/2006/relationships/hyperlink" Id="rId43" Target="http://www.iana.org/assignments/ipv4-address-space/ipv4-address-space.xml" TargetMode="External" /><Relationship Type="http://schemas.openxmlformats.org/officeDocument/2006/relationships/hyperlink" Id="rId44" Target="http://www.iana.org/assignments/ipv6-address-space/ipv6-address-space.xml" TargetMode="External" /><Relationship Type="http://schemas.openxmlformats.org/officeDocument/2006/relationships/hyperlink" Id="rId27" Target="https://cabforum.org/members" TargetMode="External" /><Relationship Type="http://schemas.openxmlformats.org/officeDocument/2006/relationships/hyperlink" Id="rId376" Target="https://spec.torproject.org/rend-spec-v3" TargetMode="External" /><Relationship Type="http://schemas.openxmlformats.org/officeDocument/2006/relationships/hyperlink" Id="rId164" Target="https://www.ietf.org/rfc/rfc4366.txt" TargetMode="External" /><Relationship Type="http://schemas.openxmlformats.org/officeDocument/2006/relationships/hyperlink" Id="rId365" Target="mailto:philliph@comodo.com" TargetMode="External" /></Relationships>
</file>

<file path=word/_rels/footnotes.xml.rels><?xml version="1.0" encoding="UTF-8"?>
<Relationships xmlns="http://schemas.openxmlformats.org/package/2006/relationships"><Relationship Type="http://schemas.openxmlformats.org/officeDocument/2006/relationships/hyperlink" Id="rId47" Target="http://csrc.nist.gov/publications/nistpubs/800-89/SP-800-89_November2006.pdf" TargetMode="External" /><Relationship Type="http://schemas.openxmlformats.org/officeDocument/2006/relationships/hyperlink" Id="rId97" Target="http://publicsuffix.org/" TargetMode="External" /><Relationship Type="http://schemas.openxmlformats.org/officeDocument/2006/relationships/hyperlink" Id="rId42" Target="http://tools.ietf.org/html/rfc6844" TargetMode="External" /><Relationship Type="http://schemas.openxmlformats.org/officeDocument/2006/relationships/hyperlink" Id="rId232" Target="http://wiki.debian.org/SSLkeys" TargetMode="External" /><Relationship Type="http://schemas.openxmlformats.org/officeDocument/2006/relationships/hyperlink" Id="rId43" Target="http://www.iana.org/assignments/ipv4-address-space/ipv4-address-space.xml" TargetMode="External" /><Relationship Type="http://schemas.openxmlformats.org/officeDocument/2006/relationships/hyperlink" Id="rId44" Target="http://www.iana.org/assignments/ipv6-address-space/ipv6-address-space.xml" TargetMode="External" /><Relationship Type="http://schemas.openxmlformats.org/officeDocument/2006/relationships/hyperlink" Id="rId27" Target="https://cabforum.org/members" TargetMode="External" /><Relationship Type="http://schemas.openxmlformats.org/officeDocument/2006/relationships/hyperlink" Id="rId376" Target="https://spec.torproject.org/rend-spec-v3" TargetMode="External" /><Relationship Type="http://schemas.openxmlformats.org/officeDocument/2006/relationships/hyperlink" Id="rId164" Target="https://www.ietf.org/rfc/rfc4366.txt" TargetMode="External" /><Relationship Type="http://schemas.openxmlformats.org/officeDocument/2006/relationships/hyperlink" Id="rId365" Target="mailto:philliph@comod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dcterms:created xsi:type="dcterms:W3CDTF">2020-03-13T14:39:04Z</dcterms:created>
  <dcterms:modified xsi:type="dcterms:W3CDTF">2020-03-13T14:39:04Z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 This work is licensed under the Creative Commons Attribution 4.0 International license.</vt:lpwstr>
  </property>
  <property fmtid="{D5CDD505-2E9C-101B-9397-08002B2CF9AE}" pid="3" name="date">
    <vt:lpwstr>3 March 2020</vt:lpwstr>
  </property>
  <property fmtid="{D5CDD505-2E9C-101B-9397-08002B2CF9AE}" pid="4" name="documentclass">
    <vt:lpwstr>report</vt:lpwstr>
  </property>
  <property fmtid="{D5CDD505-2E9C-101B-9397-08002B2CF9AE}" pid="5" name="fontfamily">
    <vt:lpwstr>Crimson Pro</vt:lpwstr>
  </property>
  <property fmtid="{D5CDD505-2E9C-101B-9397-08002B2CF9AE}" pid="6" name="fontsize">
    <vt:lpwstr>11pt</vt:lpwstr>
  </property>
  <property fmtid="{D5CDD505-2E9C-101B-9397-08002B2CF9AE}" pid="7" name="geometry">
    <vt:lpwstr/>
  </property>
  <property fmtid="{D5CDD505-2E9C-101B-9397-08002B2CF9AE}" pid="8" name="linkcolor">
    <vt:lpwstr>NavyBlue</vt:lpwstr>
  </property>
  <property fmtid="{D5CDD505-2E9C-101B-9397-08002B2CF9AE}" pid="9" name="mainfont">
    <vt:lpwstr>Source Serif Pro</vt:lpwstr>
  </property>
  <property fmtid="{D5CDD505-2E9C-101B-9397-08002B2CF9AE}" pid="10" name="monofont">
    <vt:lpwstr>Source Code Pro</vt:lpwstr>
  </property>
  <property fmtid="{D5CDD505-2E9C-101B-9397-08002B2CF9AE}" pid="11" name="monofontoptions">
    <vt:lpwstr/>
  </property>
  <property fmtid="{D5CDD505-2E9C-101B-9397-08002B2CF9AE}" pid="12" name="subtitle">
    <vt:lpwstr>Version 1.6.8</vt:lpwstr>
  </property>
  <property fmtid="{D5CDD505-2E9C-101B-9397-08002B2CF9AE}" pid="13" name="titlegraphic">
    <vt:lpwstr>/Users/jopurvis/src/cabforum-docs/assets/cabforum.png</vt:lpwstr>
  </property>
  <property fmtid="{D5CDD505-2E9C-101B-9397-08002B2CF9AE}" pid="14" name="version">
    <vt:lpwstr>1.6.8</vt:lpwstr>
  </property>
</Properties>
</file>