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D1" w:rsidRPr="000C3FB0" w:rsidRDefault="00490049" w:rsidP="0074661E">
      <w:pPr>
        <w:spacing w:after="0" w:line="240" w:lineRule="auto"/>
        <w:jc w:val="center"/>
        <w:rPr>
          <w:rFonts w:ascii="Arial" w:hAnsi="Arial" w:cs="Arial"/>
          <w:b/>
        </w:rPr>
      </w:pPr>
      <w:r w:rsidRPr="000C3FB0">
        <w:rPr>
          <w:rFonts w:ascii="Arial" w:hAnsi="Arial" w:cs="Arial"/>
          <w:b/>
        </w:rPr>
        <w:t>Validation Working Group – Validity Period Options for discussion</w:t>
      </w:r>
    </w:p>
    <w:p w:rsidR="006B2B3D" w:rsidRPr="000C3FB0" w:rsidRDefault="006B2B3D" w:rsidP="0074661E">
      <w:pPr>
        <w:spacing w:after="0" w:line="240" w:lineRule="auto"/>
        <w:jc w:val="center"/>
        <w:rPr>
          <w:rFonts w:ascii="Arial" w:hAnsi="Arial" w:cs="Arial"/>
          <w:b/>
        </w:rPr>
      </w:pPr>
      <w:r w:rsidRPr="000C3FB0">
        <w:rPr>
          <w:rFonts w:ascii="Arial" w:hAnsi="Arial" w:cs="Arial"/>
          <w:b/>
        </w:rPr>
        <w:t>(Aug. 11, 2015)</w:t>
      </w:r>
    </w:p>
    <w:p w:rsidR="00490049" w:rsidRPr="000C3FB0" w:rsidRDefault="00490049" w:rsidP="00490049">
      <w:pPr>
        <w:spacing w:after="0" w:line="240" w:lineRule="auto"/>
        <w:rPr>
          <w:rFonts w:ascii="Arial" w:hAnsi="Arial" w:cs="Arial"/>
        </w:rPr>
      </w:pPr>
    </w:p>
    <w:p w:rsidR="00490049" w:rsidRPr="000C3FB0" w:rsidRDefault="00490049" w:rsidP="00490049">
      <w:pPr>
        <w:spacing w:after="0" w:line="240" w:lineRule="auto"/>
        <w:rPr>
          <w:rFonts w:ascii="Arial" w:hAnsi="Arial" w:cs="Arial"/>
        </w:rPr>
      </w:pPr>
      <w:r w:rsidRPr="000C3FB0">
        <w:rPr>
          <w:rFonts w:ascii="Arial" w:hAnsi="Arial" w:cs="Arial"/>
        </w:rPr>
        <w:t>(Based on discussion at Zurich CAB Forum meeting June 2015)</w:t>
      </w:r>
    </w:p>
    <w:p w:rsidR="00490049" w:rsidRPr="000C3FB0" w:rsidRDefault="00490049" w:rsidP="004900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080"/>
        <w:gridCol w:w="781"/>
        <w:gridCol w:w="781"/>
        <w:gridCol w:w="781"/>
        <w:gridCol w:w="2966"/>
        <w:gridCol w:w="2966"/>
      </w:tblGrid>
      <w:tr w:rsidR="00490049" w:rsidTr="0083555E">
        <w:tc>
          <w:tcPr>
            <w:tcW w:w="1080" w:type="dxa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C3FB0">
              <w:rPr>
                <w:rFonts w:ascii="Arial" w:hAnsi="Arial" w:cs="Arial"/>
                <w:b/>
              </w:rPr>
              <w:t>Option</w:t>
            </w:r>
          </w:p>
        </w:tc>
        <w:tc>
          <w:tcPr>
            <w:tcW w:w="2343" w:type="dxa"/>
            <w:gridSpan w:val="3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C3FB0">
              <w:rPr>
                <w:rFonts w:ascii="Arial" w:hAnsi="Arial" w:cs="Arial"/>
                <w:b/>
              </w:rPr>
              <w:t>Max. Validity Periods</w:t>
            </w:r>
            <w:r w:rsidR="00867180" w:rsidRPr="000C3FB0">
              <w:rPr>
                <w:rFonts w:ascii="Arial" w:hAnsi="Arial" w:cs="Arial"/>
                <w:b/>
              </w:rPr>
              <w:t xml:space="preserve"> (Y</w:t>
            </w:r>
            <w:r w:rsidR="000C3FB0">
              <w:rPr>
                <w:rFonts w:ascii="Arial" w:hAnsi="Arial" w:cs="Arial"/>
                <w:b/>
              </w:rPr>
              <w:t>ea</w:t>
            </w:r>
            <w:r w:rsidR="00867180" w:rsidRPr="000C3FB0">
              <w:rPr>
                <w:rFonts w:ascii="Arial" w:hAnsi="Arial" w:cs="Arial"/>
                <w:b/>
              </w:rPr>
              <w:t>rs)</w:t>
            </w:r>
          </w:p>
        </w:tc>
        <w:tc>
          <w:tcPr>
            <w:tcW w:w="2966" w:type="dxa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C3FB0">
              <w:rPr>
                <w:rFonts w:ascii="Arial" w:hAnsi="Arial" w:cs="Arial"/>
                <w:b/>
              </w:rPr>
              <w:t>Pros</w:t>
            </w:r>
          </w:p>
        </w:tc>
        <w:tc>
          <w:tcPr>
            <w:tcW w:w="2966" w:type="dxa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C3FB0">
              <w:rPr>
                <w:rFonts w:ascii="Arial" w:hAnsi="Arial" w:cs="Arial"/>
                <w:b/>
              </w:rPr>
              <w:t>Cons</w:t>
            </w:r>
          </w:p>
        </w:tc>
      </w:tr>
      <w:tr w:rsidR="00490049" w:rsidTr="0083555E">
        <w:tc>
          <w:tcPr>
            <w:tcW w:w="1080" w:type="dxa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C3FB0">
              <w:rPr>
                <w:rFonts w:ascii="Arial" w:hAnsi="Arial" w:cs="Arial"/>
                <w:b/>
              </w:rPr>
              <w:t>DV</w:t>
            </w:r>
          </w:p>
        </w:tc>
        <w:tc>
          <w:tcPr>
            <w:tcW w:w="781" w:type="dxa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C3FB0">
              <w:rPr>
                <w:rFonts w:ascii="Arial" w:hAnsi="Arial" w:cs="Arial"/>
                <w:b/>
              </w:rPr>
              <w:t>OV</w:t>
            </w:r>
          </w:p>
        </w:tc>
        <w:tc>
          <w:tcPr>
            <w:tcW w:w="781" w:type="dxa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C3FB0">
              <w:rPr>
                <w:rFonts w:ascii="Arial" w:hAnsi="Arial" w:cs="Arial"/>
                <w:b/>
              </w:rPr>
              <w:t>EV</w:t>
            </w:r>
          </w:p>
        </w:tc>
        <w:tc>
          <w:tcPr>
            <w:tcW w:w="2966" w:type="dxa"/>
          </w:tcPr>
          <w:p w:rsidR="00490049" w:rsidRPr="000C3FB0" w:rsidRDefault="00490049" w:rsidP="00C53A65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66" w:type="dxa"/>
          </w:tcPr>
          <w:p w:rsidR="00490049" w:rsidRPr="000C3FB0" w:rsidRDefault="00490049" w:rsidP="00C53A6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90049" w:rsidTr="0083555E">
        <w:tc>
          <w:tcPr>
            <w:tcW w:w="1080" w:type="dxa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0C3FB0">
              <w:rPr>
                <w:rFonts w:ascii="Arial" w:hAnsi="Arial" w:cs="Arial"/>
                <w:i/>
              </w:rPr>
              <w:t>Current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3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3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2</w:t>
            </w:r>
          </w:p>
        </w:tc>
        <w:tc>
          <w:tcPr>
            <w:tcW w:w="2966" w:type="dxa"/>
          </w:tcPr>
          <w:p w:rsidR="00490049" w:rsidRPr="000C3FB0" w:rsidRDefault="00867180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 xml:space="preserve">Well understood, years of implementation, EV validity period should be shorter because identity, domains </w:t>
            </w:r>
            <w:r w:rsidR="00844640" w:rsidRPr="000C3FB0">
              <w:rPr>
                <w:rFonts w:ascii="Arial" w:hAnsi="Arial" w:cs="Arial"/>
              </w:rPr>
              <w:t xml:space="preserve">for EV certs </w:t>
            </w:r>
            <w:r w:rsidRPr="000C3FB0">
              <w:rPr>
                <w:rFonts w:ascii="Arial" w:hAnsi="Arial" w:cs="Arial"/>
              </w:rPr>
              <w:t xml:space="preserve">should be </w:t>
            </w:r>
            <w:r w:rsidR="00844640" w:rsidRPr="000C3FB0">
              <w:rPr>
                <w:rFonts w:ascii="Arial" w:hAnsi="Arial" w:cs="Arial"/>
              </w:rPr>
              <w:t xml:space="preserve">made the </w:t>
            </w:r>
            <w:r w:rsidRPr="000C3FB0">
              <w:rPr>
                <w:rFonts w:ascii="Arial" w:hAnsi="Arial" w:cs="Arial"/>
              </w:rPr>
              <w:t>most accurate</w:t>
            </w:r>
            <w:r w:rsidR="00844640" w:rsidRPr="000C3FB0">
              <w:rPr>
                <w:rFonts w:ascii="Arial" w:hAnsi="Arial" w:cs="Arial"/>
              </w:rPr>
              <w:t xml:space="preserve"> (and re</w:t>
            </w:r>
            <w:r w:rsidR="000C3FB0">
              <w:rPr>
                <w:rFonts w:ascii="Arial" w:hAnsi="Arial" w:cs="Arial"/>
              </w:rPr>
              <w:t>-</w:t>
            </w:r>
            <w:r w:rsidR="00844640" w:rsidRPr="000C3FB0">
              <w:rPr>
                <w:rFonts w:ascii="Arial" w:hAnsi="Arial" w:cs="Arial"/>
              </w:rPr>
              <w:t xml:space="preserve">vetting </w:t>
            </w:r>
            <w:r w:rsidR="00B74B18">
              <w:rPr>
                <w:rFonts w:ascii="Arial" w:hAnsi="Arial" w:cs="Arial"/>
              </w:rPr>
              <w:t xml:space="preserve">for new EV certs </w:t>
            </w:r>
            <w:r w:rsidR="00844640" w:rsidRPr="000C3FB0">
              <w:rPr>
                <w:rFonts w:ascii="Arial" w:hAnsi="Arial" w:cs="Arial"/>
              </w:rPr>
              <w:t>occurs every 13 months)</w:t>
            </w:r>
            <w:r w:rsidRPr="000C3FB0">
              <w:rPr>
                <w:rFonts w:ascii="Arial" w:hAnsi="Arial" w:cs="Arial"/>
              </w:rPr>
              <w:t>.  Very few certs go “bad” during a 2-3 year period, no need to make customers buy, install certs more frequently (plus revocation deals with bad certs in interim)</w:t>
            </w:r>
          </w:p>
        </w:tc>
        <w:tc>
          <w:tcPr>
            <w:tcW w:w="2966" w:type="dxa"/>
          </w:tcPr>
          <w:p w:rsidR="00777D18" w:rsidRPr="000C3FB0" w:rsidRDefault="00867180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 xml:space="preserve">May be too long for DV and OV (especially </w:t>
            </w:r>
            <w:r w:rsidR="00844640" w:rsidRPr="000C3FB0">
              <w:rPr>
                <w:rFonts w:ascii="Arial" w:hAnsi="Arial" w:cs="Arial"/>
              </w:rPr>
              <w:t xml:space="preserve">if </w:t>
            </w:r>
            <w:r w:rsidRPr="000C3FB0">
              <w:rPr>
                <w:rFonts w:ascii="Arial" w:hAnsi="Arial" w:cs="Arial"/>
              </w:rPr>
              <w:t>domain confirmation</w:t>
            </w:r>
            <w:r w:rsidR="00844640" w:rsidRPr="000C3FB0">
              <w:rPr>
                <w:rFonts w:ascii="Arial" w:hAnsi="Arial" w:cs="Arial"/>
              </w:rPr>
              <w:t xml:space="preserve"> occurs only every 39 months</w:t>
            </w:r>
            <w:r w:rsidRPr="000C3FB0">
              <w:rPr>
                <w:rFonts w:ascii="Arial" w:hAnsi="Arial" w:cs="Arial"/>
              </w:rPr>
              <w:t xml:space="preserve">).  </w:t>
            </w:r>
            <w:r w:rsidR="00777D18" w:rsidRPr="000C3FB0">
              <w:rPr>
                <w:rFonts w:ascii="Arial" w:hAnsi="Arial" w:cs="Arial"/>
              </w:rPr>
              <w:t xml:space="preserve">If vetting data used for 3 years and at the end a 3 year </w:t>
            </w:r>
            <w:r w:rsidR="00FB5397" w:rsidRPr="000C3FB0">
              <w:rPr>
                <w:rFonts w:ascii="Arial" w:hAnsi="Arial" w:cs="Arial"/>
              </w:rPr>
              <w:t xml:space="preserve">DV/OV </w:t>
            </w:r>
            <w:r w:rsidR="00777D18" w:rsidRPr="000C3FB0">
              <w:rPr>
                <w:rFonts w:ascii="Arial" w:hAnsi="Arial" w:cs="Arial"/>
              </w:rPr>
              <w:t>cert is issued, it’s good for 6 years after vetting.</w:t>
            </w:r>
          </w:p>
          <w:p w:rsidR="00490049" w:rsidRPr="000C3FB0" w:rsidRDefault="00867180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EV validity period may be too long given EV’s special nature (“more secure”)</w:t>
            </w:r>
            <w:r w:rsidR="00777D18" w:rsidRPr="000C3FB0">
              <w:rPr>
                <w:rFonts w:ascii="Arial" w:hAnsi="Arial" w:cs="Arial"/>
              </w:rPr>
              <w:t xml:space="preserve"> – up to (12+24) = 36 months after last EV vetting.</w:t>
            </w:r>
          </w:p>
        </w:tc>
      </w:tr>
      <w:tr w:rsidR="00490049" w:rsidTr="0083555E">
        <w:tc>
          <w:tcPr>
            <w:tcW w:w="1080" w:type="dxa"/>
          </w:tcPr>
          <w:p w:rsidR="00490049" w:rsidRPr="000C3FB0" w:rsidRDefault="00490049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A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1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2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3</w:t>
            </w:r>
          </w:p>
        </w:tc>
        <w:tc>
          <w:tcPr>
            <w:tcW w:w="2966" w:type="dxa"/>
          </w:tcPr>
          <w:p w:rsidR="00843F28" w:rsidRPr="000C3FB0" w:rsidRDefault="00867180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 xml:space="preserve">Because DV </w:t>
            </w:r>
            <w:r w:rsidR="00B74B18">
              <w:rPr>
                <w:rFonts w:ascii="Arial" w:hAnsi="Arial" w:cs="Arial"/>
              </w:rPr>
              <w:t xml:space="preserve">vetting </w:t>
            </w:r>
            <w:r w:rsidRPr="000C3FB0">
              <w:rPr>
                <w:rFonts w:ascii="Arial" w:hAnsi="Arial" w:cs="Arial"/>
              </w:rPr>
              <w:t>confirms the least, it should be repeated annually.</w:t>
            </w:r>
            <w:r w:rsidR="00FB5397" w:rsidRPr="000C3FB0">
              <w:rPr>
                <w:rFonts w:ascii="Arial" w:hAnsi="Arial" w:cs="Arial"/>
              </w:rPr>
              <w:t xml:space="preserve">  </w:t>
            </w:r>
            <w:r w:rsidR="00843F28" w:rsidRPr="000C3FB0">
              <w:rPr>
                <w:rFonts w:ascii="Arial" w:hAnsi="Arial" w:cs="Arial"/>
              </w:rPr>
              <w:t>[Note: if we only change the validity period but allow DV and OV data to be used for 39 months as today, may not be a lot of benefit in shortening DV and OV cert validity period – certs can be reissued using the same data, no re-authentication required.]</w:t>
            </w:r>
          </w:p>
          <w:p w:rsidR="009E49AE" w:rsidRPr="000C3FB0" w:rsidRDefault="0083555E" w:rsidP="00B74B18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 xml:space="preserve">Organization data rarely changes from year to year for a customer, so allow longer period for OV/EV certs (plus, more </w:t>
            </w:r>
            <w:r w:rsidR="00843F28" w:rsidRPr="000C3FB0">
              <w:rPr>
                <w:rFonts w:ascii="Arial" w:hAnsi="Arial" w:cs="Arial"/>
              </w:rPr>
              <w:t xml:space="preserve">is </w:t>
            </w:r>
            <w:r w:rsidRPr="000C3FB0">
              <w:rPr>
                <w:rFonts w:ascii="Arial" w:hAnsi="Arial" w:cs="Arial"/>
              </w:rPr>
              <w:t xml:space="preserve">known about </w:t>
            </w:r>
            <w:r w:rsidR="00843F28" w:rsidRPr="000C3FB0">
              <w:rPr>
                <w:rFonts w:ascii="Arial" w:hAnsi="Arial" w:cs="Arial"/>
              </w:rPr>
              <w:t xml:space="preserve">OV/EV </w:t>
            </w:r>
            <w:r w:rsidRPr="000C3FB0">
              <w:rPr>
                <w:rFonts w:ascii="Arial" w:hAnsi="Arial" w:cs="Arial"/>
              </w:rPr>
              <w:t>customer</w:t>
            </w:r>
            <w:r w:rsidR="00843F28" w:rsidRPr="000C3FB0">
              <w:rPr>
                <w:rFonts w:ascii="Arial" w:hAnsi="Arial" w:cs="Arial"/>
              </w:rPr>
              <w:t>s</w:t>
            </w:r>
            <w:r w:rsidRPr="000C3FB0">
              <w:rPr>
                <w:rFonts w:ascii="Arial" w:hAnsi="Arial" w:cs="Arial"/>
              </w:rPr>
              <w:t xml:space="preserve"> than for DV </w:t>
            </w:r>
            <w:r w:rsidR="00843F28" w:rsidRPr="000C3FB0">
              <w:rPr>
                <w:rFonts w:ascii="Arial" w:hAnsi="Arial" w:cs="Arial"/>
              </w:rPr>
              <w:t>customers</w:t>
            </w:r>
            <w:r w:rsidRPr="000C3FB0">
              <w:rPr>
                <w:rFonts w:ascii="Arial" w:hAnsi="Arial" w:cs="Arial"/>
              </w:rPr>
              <w:t xml:space="preserve">, </w:t>
            </w:r>
            <w:r w:rsidR="00843F28" w:rsidRPr="000C3FB0">
              <w:rPr>
                <w:rFonts w:ascii="Arial" w:hAnsi="Arial" w:cs="Arial"/>
              </w:rPr>
              <w:t xml:space="preserve">so </w:t>
            </w:r>
            <w:r w:rsidRPr="000C3FB0">
              <w:rPr>
                <w:rFonts w:ascii="Arial" w:hAnsi="Arial" w:cs="Arial"/>
              </w:rPr>
              <w:t xml:space="preserve">less likely to be hacker).  </w:t>
            </w:r>
            <w:r w:rsidR="009E49AE" w:rsidRPr="000C3FB0">
              <w:rPr>
                <w:rFonts w:ascii="Arial" w:hAnsi="Arial" w:cs="Arial"/>
              </w:rPr>
              <w:t xml:space="preserve">EV users are more stable than DV and maybe OV users, </w:t>
            </w:r>
            <w:r w:rsidR="00771CEC" w:rsidRPr="000C3FB0">
              <w:rPr>
                <w:rFonts w:ascii="Arial" w:hAnsi="Arial" w:cs="Arial"/>
              </w:rPr>
              <w:t xml:space="preserve">and EV certs are the safest certs, </w:t>
            </w:r>
            <w:r w:rsidR="009E49AE" w:rsidRPr="000C3FB0">
              <w:rPr>
                <w:rFonts w:ascii="Arial" w:hAnsi="Arial" w:cs="Arial"/>
              </w:rPr>
              <w:t xml:space="preserve">so should be able to get longer lived </w:t>
            </w:r>
            <w:r w:rsidR="00771CEC" w:rsidRPr="000C3FB0">
              <w:rPr>
                <w:rFonts w:ascii="Arial" w:hAnsi="Arial" w:cs="Arial"/>
              </w:rPr>
              <w:t xml:space="preserve">EV </w:t>
            </w:r>
            <w:r w:rsidR="009E49AE" w:rsidRPr="000C3FB0">
              <w:rPr>
                <w:rFonts w:ascii="Arial" w:hAnsi="Arial" w:cs="Arial"/>
              </w:rPr>
              <w:lastRenderedPageBreak/>
              <w:t>certs.</w:t>
            </w:r>
            <w:r w:rsidR="00771CEC" w:rsidRPr="000C3FB0">
              <w:rPr>
                <w:rFonts w:ascii="Arial" w:hAnsi="Arial" w:cs="Arial"/>
              </w:rPr>
              <w:t xml:space="preserve">  Same for OV certs versus DV certs.</w:t>
            </w:r>
          </w:p>
        </w:tc>
        <w:tc>
          <w:tcPr>
            <w:tcW w:w="2966" w:type="dxa"/>
          </w:tcPr>
          <w:p w:rsidR="00843F28" w:rsidRPr="000C3FB0" w:rsidRDefault="00843F28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lastRenderedPageBreak/>
              <w:t>Many customers use DV certs, and this would make them replace the certs every year without adding value.  Most hackers using DV certs do most damage in the first 48-72 hours, and certs can be revoked, so no benefit to shortening maximum validity period from 3 years to 1 year (same for OV from 3 years to 2 years)</w:t>
            </w:r>
            <w:r w:rsidR="0083555E" w:rsidRPr="000C3FB0">
              <w:rPr>
                <w:rFonts w:ascii="Arial" w:hAnsi="Arial" w:cs="Arial"/>
              </w:rPr>
              <w:t xml:space="preserve">.  </w:t>
            </w:r>
          </w:p>
          <w:p w:rsidR="00490049" w:rsidRPr="000C3FB0" w:rsidRDefault="0083555E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 xml:space="preserve">[Note: if we only change the validity period </w:t>
            </w:r>
            <w:r w:rsidR="00B74B18">
              <w:rPr>
                <w:rFonts w:ascii="Arial" w:hAnsi="Arial" w:cs="Arial"/>
              </w:rPr>
              <w:t xml:space="preserve">for DV and OV certs </w:t>
            </w:r>
            <w:r w:rsidRPr="000C3FB0">
              <w:rPr>
                <w:rFonts w:ascii="Arial" w:hAnsi="Arial" w:cs="Arial"/>
              </w:rPr>
              <w:t xml:space="preserve">but allow DV and OV </w:t>
            </w:r>
            <w:r w:rsidR="00424DCB" w:rsidRPr="000C3FB0">
              <w:rPr>
                <w:rFonts w:ascii="Arial" w:hAnsi="Arial" w:cs="Arial"/>
              </w:rPr>
              <w:t xml:space="preserve">authentication </w:t>
            </w:r>
            <w:r w:rsidRPr="000C3FB0">
              <w:rPr>
                <w:rFonts w:ascii="Arial" w:hAnsi="Arial" w:cs="Arial"/>
              </w:rPr>
              <w:t>data to be used for 39 months as today, may not be a lot of benefit in shortening DV and OV cert validity period – certs can be reissued using the same data, no re-authentication required.]</w:t>
            </w:r>
          </w:p>
        </w:tc>
      </w:tr>
      <w:tr w:rsidR="0083555E" w:rsidTr="0083555E">
        <w:tc>
          <w:tcPr>
            <w:tcW w:w="1080" w:type="dxa"/>
          </w:tcPr>
          <w:p w:rsidR="0083555E" w:rsidRPr="000C3FB0" w:rsidRDefault="0083555E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lastRenderedPageBreak/>
              <w:t>B</w:t>
            </w:r>
          </w:p>
        </w:tc>
        <w:tc>
          <w:tcPr>
            <w:tcW w:w="781" w:type="dxa"/>
          </w:tcPr>
          <w:p w:rsidR="0083555E" w:rsidRPr="000C3FB0" w:rsidRDefault="0083555E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2</w:t>
            </w:r>
          </w:p>
        </w:tc>
        <w:tc>
          <w:tcPr>
            <w:tcW w:w="781" w:type="dxa"/>
          </w:tcPr>
          <w:p w:rsidR="0083555E" w:rsidRPr="000C3FB0" w:rsidRDefault="0083555E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3</w:t>
            </w:r>
          </w:p>
        </w:tc>
        <w:tc>
          <w:tcPr>
            <w:tcW w:w="781" w:type="dxa"/>
          </w:tcPr>
          <w:p w:rsidR="0083555E" w:rsidRPr="000C3FB0" w:rsidRDefault="0083555E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3</w:t>
            </w:r>
          </w:p>
        </w:tc>
        <w:tc>
          <w:tcPr>
            <w:tcW w:w="2966" w:type="dxa"/>
          </w:tcPr>
          <w:p w:rsidR="0083555E" w:rsidRPr="000C3FB0" w:rsidRDefault="0083555E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Similar arguments to Option A, but avoids making DV certs be replaced every year.</w:t>
            </w:r>
            <w:r w:rsidR="009545CF" w:rsidRPr="000C3FB0">
              <w:rPr>
                <w:rFonts w:ascii="Arial" w:hAnsi="Arial" w:cs="Arial"/>
              </w:rPr>
              <w:t xml:space="preserve">  OV and EV certs, with more validation</w:t>
            </w:r>
            <w:r w:rsidR="00B74B18">
              <w:rPr>
                <w:rFonts w:ascii="Arial" w:hAnsi="Arial" w:cs="Arial"/>
              </w:rPr>
              <w:t xml:space="preserve"> are safer because of validations</w:t>
            </w:r>
            <w:r w:rsidR="009545CF" w:rsidRPr="000C3FB0">
              <w:rPr>
                <w:rFonts w:ascii="Arial" w:hAnsi="Arial" w:cs="Arial"/>
              </w:rPr>
              <w:t>, would be available for a longer period, which encourages website owners to complete the identity validation process.</w:t>
            </w:r>
          </w:p>
        </w:tc>
        <w:tc>
          <w:tcPr>
            <w:tcW w:w="2966" w:type="dxa"/>
          </w:tcPr>
          <w:p w:rsidR="0083555E" w:rsidRPr="000C3FB0" w:rsidRDefault="00424DCB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Similar arguments to Option A, but avoids making DV certs be replaced every year.</w:t>
            </w:r>
          </w:p>
        </w:tc>
      </w:tr>
      <w:tr w:rsidR="00490049" w:rsidTr="0083555E">
        <w:tc>
          <w:tcPr>
            <w:tcW w:w="1080" w:type="dxa"/>
          </w:tcPr>
          <w:p w:rsidR="00490049" w:rsidRPr="000C3FB0" w:rsidRDefault="00424DCB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C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3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3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3</w:t>
            </w:r>
          </w:p>
        </w:tc>
        <w:tc>
          <w:tcPr>
            <w:tcW w:w="2966" w:type="dxa"/>
          </w:tcPr>
          <w:p w:rsidR="00490049" w:rsidRPr="000C3FB0" w:rsidRDefault="00FB5397" w:rsidP="00B74B18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 xml:space="preserve">Keeps the customer focused on the differences in validation levels </w:t>
            </w:r>
            <w:r w:rsidR="00B74B18">
              <w:rPr>
                <w:rFonts w:ascii="Arial" w:hAnsi="Arial" w:cs="Arial"/>
              </w:rPr>
              <w:t xml:space="preserve">and browser UI </w:t>
            </w:r>
            <w:r w:rsidRPr="000C3FB0">
              <w:rPr>
                <w:rFonts w:ascii="Arial" w:hAnsi="Arial" w:cs="Arial"/>
              </w:rPr>
              <w:t xml:space="preserve">when choosing a cert, </w:t>
            </w:r>
            <w:r w:rsidR="00B74B18">
              <w:rPr>
                <w:rFonts w:ascii="Arial" w:hAnsi="Arial" w:cs="Arial"/>
              </w:rPr>
              <w:t>not distracted in choice by maximum</w:t>
            </w:r>
            <w:r w:rsidRPr="000C3FB0">
              <w:rPr>
                <w:rFonts w:ascii="Arial" w:hAnsi="Arial" w:cs="Arial"/>
              </w:rPr>
              <w:t xml:space="preserve"> validity period.  </w:t>
            </w:r>
            <w:r w:rsidR="00B74B18">
              <w:rPr>
                <w:rFonts w:ascii="Arial" w:hAnsi="Arial" w:cs="Arial"/>
              </w:rPr>
              <w:t>More</w:t>
            </w:r>
            <w:r w:rsidRPr="000C3FB0">
              <w:rPr>
                <w:rFonts w:ascii="Arial" w:hAnsi="Arial" w:cs="Arial"/>
              </w:rPr>
              <w:t xml:space="preserve"> convenient for customers, who may be more willing to upgrade to EV certs with a 3 year validity period.  Organization </w:t>
            </w:r>
            <w:bookmarkStart w:id="0" w:name="_GoBack"/>
            <w:bookmarkEnd w:id="0"/>
            <w:r w:rsidRPr="000C3FB0">
              <w:rPr>
                <w:rFonts w:ascii="Arial" w:hAnsi="Arial" w:cs="Arial"/>
              </w:rPr>
              <w:t>data seldom changes from year to year, so lo</w:t>
            </w:r>
            <w:r w:rsidR="00F24739" w:rsidRPr="000C3FB0">
              <w:rPr>
                <w:rFonts w:ascii="Arial" w:hAnsi="Arial" w:cs="Arial"/>
              </w:rPr>
              <w:t xml:space="preserve">nger </w:t>
            </w:r>
            <w:r w:rsidRPr="000C3FB0">
              <w:rPr>
                <w:rFonts w:ascii="Arial" w:hAnsi="Arial" w:cs="Arial"/>
              </w:rPr>
              <w:t>period for EV certs is justified.</w:t>
            </w:r>
          </w:p>
        </w:tc>
        <w:tc>
          <w:tcPr>
            <w:tcW w:w="2966" w:type="dxa"/>
          </w:tcPr>
          <w:p w:rsidR="00490049" w:rsidRPr="000C3FB0" w:rsidRDefault="00FB5397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 xml:space="preserve">3 years is too long for certificates, as authentication information for both the organization and domain can change.  This effectively allows DV and OV certs that are good for up to 6 years after vetting, </w:t>
            </w:r>
            <w:r w:rsidR="00424DCB" w:rsidRPr="000C3FB0">
              <w:rPr>
                <w:rFonts w:ascii="Arial" w:hAnsi="Arial" w:cs="Arial"/>
              </w:rPr>
              <w:t xml:space="preserve">and </w:t>
            </w:r>
            <w:r w:rsidRPr="000C3FB0">
              <w:rPr>
                <w:rFonts w:ascii="Arial" w:hAnsi="Arial" w:cs="Arial"/>
              </w:rPr>
              <w:t xml:space="preserve">EV certs that are good </w:t>
            </w:r>
            <w:r w:rsidR="009545CF" w:rsidRPr="000C3FB0">
              <w:rPr>
                <w:rFonts w:ascii="Arial" w:hAnsi="Arial" w:cs="Arial"/>
              </w:rPr>
              <w:t>for up to 4 years after vetting (using current data reuse rules of 39 months for DV and OV and 13 months for EV)</w:t>
            </w:r>
          </w:p>
        </w:tc>
      </w:tr>
      <w:tr w:rsidR="00490049" w:rsidTr="0083555E">
        <w:tc>
          <w:tcPr>
            <w:tcW w:w="1080" w:type="dxa"/>
          </w:tcPr>
          <w:p w:rsidR="00490049" w:rsidRPr="000C3FB0" w:rsidRDefault="00424DCB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D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2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2</w:t>
            </w:r>
          </w:p>
        </w:tc>
        <w:tc>
          <w:tcPr>
            <w:tcW w:w="781" w:type="dxa"/>
          </w:tcPr>
          <w:p w:rsidR="00490049" w:rsidRPr="000C3FB0" w:rsidRDefault="00867180" w:rsidP="00C53A65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2</w:t>
            </w:r>
          </w:p>
        </w:tc>
        <w:tc>
          <w:tcPr>
            <w:tcW w:w="2966" w:type="dxa"/>
          </w:tcPr>
          <w:p w:rsidR="00490049" w:rsidRPr="000C3FB0" w:rsidRDefault="00F24739" w:rsidP="009545CF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>Same arguments as for 3-3-3</w:t>
            </w:r>
            <w:r w:rsidR="0083555E" w:rsidRPr="000C3FB0">
              <w:rPr>
                <w:rFonts w:ascii="Arial" w:hAnsi="Arial" w:cs="Arial"/>
              </w:rPr>
              <w:t xml:space="preserve"> (Option </w:t>
            </w:r>
            <w:r w:rsidR="00424DCB" w:rsidRPr="000C3FB0">
              <w:rPr>
                <w:rFonts w:ascii="Arial" w:hAnsi="Arial" w:cs="Arial"/>
              </w:rPr>
              <w:t>C</w:t>
            </w:r>
            <w:r w:rsidR="0083555E" w:rsidRPr="000C3FB0">
              <w:rPr>
                <w:rFonts w:ascii="Arial" w:hAnsi="Arial" w:cs="Arial"/>
              </w:rPr>
              <w:t xml:space="preserve">), but with shorter period maximum validity period after vetting.  </w:t>
            </w:r>
          </w:p>
        </w:tc>
        <w:tc>
          <w:tcPr>
            <w:tcW w:w="2966" w:type="dxa"/>
          </w:tcPr>
          <w:p w:rsidR="00490049" w:rsidRPr="000C3FB0" w:rsidRDefault="0083555E" w:rsidP="00C53A65">
            <w:pPr>
              <w:spacing w:before="40" w:after="40"/>
              <w:rPr>
                <w:rFonts w:ascii="Arial" w:hAnsi="Arial" w:cs="Arial"/>
              </w:rPr>
            </w:pPr>
            <w:r w:rsidRPr="000C3FB0">
              <w:rPr>
                <w:rFonts w:ascii="Arial" w:hAnsi="Arial" w:cs="Arial"/>
              </w:rPr>
              <w:t xml:space="preserve">Same arguments as for 3-3-3 (Option </w:t>
            </w:r>
            <w:r w:rsidR="00424DCB" w:rsidRPr="000C3FB0">
              <w:rPr>
                <w:rFonts w:ascii="Arial" w:hAnsi="Arial" w:cs="Arial"/>
              </w:rPr>
              <w:t>C</w:t>
            </w:r>
            <w:r w:rsidRPr="000C3FB0">
              <w:rPr>
                <w:rFonts w:ascii="Arial" w:hAnsi="Arial" w:cs="Arial"/>
              </w:rPr>
              <w:t>), but with shorter period maximum validity period after vetting is one year less.  More work for customers to replace certs after shorter validity period.</w:t>
            </w:r>
          </w:p>
        </w:tc>
      </w:tr>
    </w:tbl>
    <w:p w:rsidR="00490049" w:rsidRDefault="00490049" w:rsidP="00791689">
      <w:pPr>
        <w:spacing w:after="0" w:line="240" w:lineRule="auto"/>
      </w:pPr>
    </w:p>
    <w:sectPr w:rsidR="004900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71" w:rsidRDefault="000C7371" w:rsidP="006B2B3D">
      <w:pPr>
        <w:spacing w:after="0" w:line="240" w:lineRule="auto"/>
      </w:pPr>
      <w:r>
        <w:separator/>
      </w:r>
    </w:p>
  </w:endnote>
  <w:endnote w:type="continuationSeparator" w:id="0">
    <w:p w:rsidR="000C7371" w:rsidRDefault="000C7371" w:rsidP="006B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42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B3D" w:rsidRDefault="006B2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B3D" w:rsidRDefault="006B2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71" w:rsidRDefault="000C7371" w:rsidP="006B2B3D">
      <w:pPr>
        <w:spacing w:after="0" w:line="240" w:lineRule="auto"/>
      </w:pPr>
      <w:r>
        <w:separator/>
      </w:r>
    </w:p>
  </w:footnote>
  <w:footnote w:type="continuationSeparator" w:id="0">
    <w:p w:rsidR="000C7371" w:rsidRDefault="000C7371" w:rsidP="006B2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9"/>
    <w:rsid w:val="000C3FB0"/>
    <w:rsid w:val="000C7371"/>
    <w:rsid w:val="001762D1"/>
    <w:rsid w:val="001D23E0"/>
    <w:rsid w:val="00304623"/>
    <w:rsid w:val="003F1F35"/>
    <w:rsid w:val="00424DCB"/>
    <w:rsid w:val="00490049"/>
    <w:rsid w:val="006B2B3D"/>
    <w:rsid w:val="0074661E"/>
    <w:rsid w:val="00771CEC"/>
    <w:rsid w:val="0077578D"/>
    <w:rsid w:val="00777D18"/>
    <w:rsid w:val="00791689"/>
    <w:rsid w:val="007C05D0"/>
    <w:rsid w:val="00811AB8"/>
    <w:rsid w:val="0083555E"/>
    <w:rsid w:val="00843F28"/>
    <w:rsid w:val="00844640"/>
    <w:rsid w:val="00867180"/>
    <w:rsid w:val="00905848"/>
    <w:rsid w:val="009545CF"/>
    <w:rsid w:val="009E49AE"/>
    <w:rsid w:val="00B703CD"/>
    <w:rsid w:val="00B74B18"/>
    <w:rsid w:val="00C53A65"/>
    <w:rsid w:val="00DD6B90"/>
    <w:rsid w:val="00E615AE"/>
    <w:rsid w:val="00EB542E"/>
    <w:rsid w:val="00F24739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F7E65-606A-4138-AAFA-47F0D1E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B3D"/>
  </w:style>
  <w:style w:type="paragraph" w:styleId="Footer">
    <w:name w:val="footer"/>
    <w:basedOn w:val="Normal"/>
    <w:link w:val="FooterChar"/>
    <w:uiPriority w:val="99"/>
    <w:unhideWhenUsed/>
    <w:rsid w:val="006B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Hall (RD-US)</dc:creator>
  <cp:keywords/>
  <dc:description/>
  <cp:lastModifiedBy>Kirk Hall (RD-US)</cp:lastModifiedBy>
  <cp:revision>4</cp:revision>
  <dcterms:created xsi:type="dcterms:W3CDTF">2015-08-11T20:56:00Z</dcterms:created>
  <dcterms:modified xsi:type="dcterms:W3CDTF">2015-08-11T21:14:00Z</dcterms:modified>
</cp:coreProperties>
</file>