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D0CE" w14:textId="59DD641C" w:rsidR="00203AC7" w:rsidRDefault="00723DB7" w:rsidP="00723DB7">
      <w:pPr>
        <w:pStyle w:val="Title"/>
      </w:pPr>
      <w:r>
        <w:t>CSWG  - Parking Lot</w:t>
      </w:r>
      <w:r w:rsidR="00441792">
        <w:tab/>
      </w:r>
    </w:p>
    <w:p w14:paraId="3C3E6078" w14:textId="77777777" w:rsidR="00386AFB" w:rsidRPr="00386AFB" w:rsidRDefault="00386AFB" w:rsidP="00386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5297"/>
        <w:gridCol w:w="1282"/>
        <w:gridCol w:w="1077"/>
        <w:gridCol w:w="4355"/>
      </w:tblGrid>
      <w:tr w:rsidR="00441792" w14:paraId="59C29F5B" w14:textId="32BE9D63" w:rsidTr="00441792">
        <w:tc>
          <w:tcPr>
            <w:tcW w:w="940" w:type="dxa"/>
          </w:tcPr>
          <w:p w14:paraId="546295EC" w14:textId="02525CE8" w:rsidR="00441792" w:rsidRPr="00386AFB" w:rsidRDefault="00441792" w:rsidP="00723DB7">
            <w:pPr>
              <w:rPr>
                <w:b/>
                <w:bCs/>
              </w:rPr>
            </w:pPr>
            <w:r w:rsidRPr="00386AFB">
              <w:rPr>
                <w:b/>
                <w:bCs/>
              </w:rPr>
              <w:t>Section</w:t>
            </w:r>
          </w:p>
        </w:tc>
        <w:tc>
          <w:tcPr>
            <w:tcW w:w="5355" w:type="dxa"/>
          </w:tcPr>
          <w:p w14:paraId="651E62D6" w14:textId="0034C62D" w:rsidR="00441792" w:rsidRPr="00386AFB" w:rsidRDefault="00441792" w:rsidP="00723DB7">
            <w:pPr>
              <w:rPr>
                <w:b/>
                <w:bCs/>
              </w:rPr>
            </w:pPr>
            <w:r w:rsidRPr="00386AFB">
              <w:rPr>
                <w:b/>
                <w:bCs/>
              </w:rPr>
              <w:t>Description</w:t>
            </w:r>
          </w:p>
        </w:tc>
        <w:tc>
          <w:tcPr>
            <w:tcW w:w="1170" w:type="dxa"/>
          </w:tcPr>
          <w:p w14:paraId="0BBB68AA" w14:textId="509914F5" w:rsidR="00441792" w:rsidRPr="00386AFB" w:rsidRDefault="00D408DF" w:rsidP="00723DB7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1080" w:type="dxa"/>
          </w:tcPr>
          <w:p w14:paraId="5ADB2577" w14:textId="23D19B97" w:rsidR="00441792" w:rsidRPr="00386AFB" w:rsidRDefault="00D408DF" w:rsidP="00723DB7">
            <w:pPr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4405" w:type="dxa"/>
          </w:tcPr>
          <w:p w14:paraId="55A8B189" w14:textId="68BDF7DF" w:rsidR="00441792" w:rsidRPr="00386AFB" w:rsidRDefault="00441792" w:rsidP="00723DB7">
            <w:pPr>
              <w:rPr>
                <w:b/>
                <w:bCs/>
              </w:rPr>
            </w:pPr>
            <w:r w:rsidRPr="00386AFB">
              <w:rPr>
                <w:b/>
                <w:bCs/>
              </w:rPr>
              <w:t>Comments</w:t>
            </w:r>
          </w:p>
        </w:tc>
      </w:tr>
      <w:tr w:rsidR="00441792" w14:paraId="13B10544" w14:textId="0CB963F5" w:rsidTr="00441792">
        <w:tc>
          <w:tcPr>
            <w:tcW w:w="940" w:type="dxa"/>
          </w:tcPr>
          <w:p w14:paraId="1A684A51" w14:textId="1B807AD7" w:rsidR="00441792" w:rsidRDefault="00441792" w:rsidP="00723DB7">
            <w:r>
              <w:t>7.2</w:t>
            </w:r>
          </w:p>
        </w:tc>
        <w:tc>
          <w:tcPr>
            <w:tcW w:w="5355" w:type="dxa"/>
          </w:tcPr>
          <w:p w14:paraId="2DF7BA40" w14:textId="0839B33F" w:rsidR="00441792" w:rsidRDefault="00441792" w:rsidP="00C654FF">
            <w:r>
              <w:t>Signing Service warranties should be separated from the CA warranties</w:t>
            </w:r>
          </w:p>
        </w:tc>
        <w:tc>
          <w:tcPr>
            <w:tcW w:w="1170" w:type="dxa"/>
          </w:tcPr>
          <w:p w14:paraId="4DDF2156" w14:textId="66223C81" w:rsidR="00441792" w:rsidRDefault="00441792" w:rsidP="00723DB7">
            <w:r>
              <w:t>Bruce</w:t>
            </w:r>
          </w:p>
        </w:tc>
        <w:tc>
          <w:tcPr>
            <w:tcW w:w="1080" w:type="dxa"/>
          </w:tcPr>
          <w:p w14:paraId="3E650627" w14:textId="4A78118E" w:rsidR="00441792" w:rsidRDefault="00441792" w:rsidP="00723DB7">
            <w:r>
              <w:t>3</w:t>
            </w:r>
          </w:p>
        </w:tc>
        <w:tc>
          <w:tcPr>
            <w:tcW w:w="4405" w:type="dxa"/>
          </w:tcPr>
          <w:p w14:paraId="3F3C7616" w14:textId="7B46559D" w:rsidR="00441792" w:rsidRDefault="00441792" w:rsidP="00723DB7"/>
        </w:tc>
      </w:tr>
      <w:tr w:rsidR="00441792" w14:paraId="02A658EF" w14:textId="65DE62C3" w:rsidTr="00441792">
        <w:tc>
          <w:tcPr>
            <w:tcW w:w="940" w:type="dxa"/>
          </w:tcPr>
          <w:p w14:paraId="0923B748" w14:textId="3B16CD4F" w:rsidR="00441792" w:rsidRDefault="00441792" w:rsidP="00723DB7">
            <w:r>
              <w:t>8.2</w:t>
            </w:r>
          </w:p>
        </w:tc>
        <w:tc>
          <w:tcPr>
            <w:tcW w:w="5355" w:type="dxa"/>
          </w:tcPr>
          <w:p w14:paraId="3A3AF3C3" w14:textId="5B50BC2C" w:rsidR="00441792" w:rsidRDefault="00441792" w:rsidP="00723DB7">
            <w:r>
              <w:t>For discussion, “Subsequent signature validation MAY ignore revocation, especially if rejecting the Code will cause the device to fail to boot.”</w:t>
            </w:r>
          </w:p>
        </w:tc>
        <w:tc>
          <w:tcPr>
            <w:tcW w:w="1170" w:type="dxa"/>
          </w:tcPr>
          <w:p w14:paraId="466F8D7F" w14:textId="5561C130" w:rsidR="00441792" w:rsidRDefault="00441792" w:rsidP="00723DB7">
            <w:r>
              <w:t>Ian</w:t>
            </w:r>
          </w:p>
        </w:tc>
        <w:tc>
          <w:tcPr>
            <w:tcW w:w="1080" w:type="dxa"/>
          </w:tcPr>
          <w:p w14:paraId="41B638E9" w14:textId="223D24C2" w:rsidR="00441792" w:rsidRDefault="00441792" w:rsidP="00723DB7">
            <w:r>
              <w:t>2</w:t>
            </w:r>
          </w:p>
        </w:tc>
        <w:tc>
          <w:tcPr>
            <w:tcW w:w="4405" w:type="dxa"/>
          </w:tcPr>
          <w:p w14:paraId="1F7FBB98" w14:textId="1EB7E38C" w:rsidR="00441792" w:rsidRDefault="00441792" w:rsidP="00723DB7"/>
        </w:tc>
        <w:bookmarkStart w:id="0" w:name="_GoBack"/>
        <w:bookmarkEnd w:id="0"/>
      </w:tr>
      <w:tr w:rsidR="00441792" w14:paraId="4AEBE0F9" w14:textId="3E4FE35A" w:rsidTr="00441792">
        <w:tc>
          <w:tcPr>
            <w:tcW w:w="940" w:type="dxa"/>
          </w:tcPr>
          <w:p w14:paraId="42AE7B2D" w14:textId="6317B735" w:rsidR="00441792" w:rsidRDefault="00441792" w:rsidP="00723DB7">
            <w:r>
              <w:t>8.5</w:t>
            </w:r>
          </w:p>
        </w:tc>
        <w:tc>
          <w:tcPr>
            <w:tcW w:w="5355" w:type="dxa"/>
          </w:tcPr>
          <w:p w14:paraId="3AB84996" w14:textId="039BF0D0" w:rsidR="00441792" w:rsidRDefault="00441792" w:rsidP="00C654FF">
            <w:r>
              <w:t>Do we need the Insurance requirement?</w:t>
            </w:r>
          </w:p>
        </w:tc>
        <w:tc>
          <w:tcPr>
            <w:tcW w:w="1170" w:type="dxa"/>
          </w:tcPr>
          <w:p w14:paraId="0C3DA19C" w14:textId="160A1A23" w:rsidR="00441792" w:rsidRDefault="00441792" w:rsidP="00417950">
            <w:r>
              <w:t>Mike</w:t>
            </w:r>
          </w:p>
        </w:tc>
        <w:tc>
          <w:tcPr>
            <w:tcW w:w="1080" w:type="dxa"/>
          </w:tcPr>
          <w:p w14:paraId="7A09F212" w14:textId="1C995FEC" w:rsidR="00441792" w:rsidRDefault="00441792" w:rsidP="00417950">
            <w:r>
              <w:t>3</w:t>
            </w:r>
          </w:p>
        </w:tc>
        <w:tc>
          <w:tcPr>
            <w:tcW w:w="4405" w:type="dxa"/>
          </w:tcPr>
          <w:p w14:paraId="19D1CC30" w14:textId="4301A4D8" w:rsidR="00441792" w:rsidRDefault="00441792" w:rsidP="00417950"/>
        </w:tc>
      </w:tr>
      <w:tr w:rsidR="00441792" w14:paraId="7C09D6F0" w14:textId="5866A3A0" w:rsidTr="00441792">
        <w:tc>
          <w:tcPr>
            <w:tcW w:w="940" w:type="dxa"/>
          </w:tcPr>
          <w:p w14:paraId="5622965C" w14:textId="33139DF2" w:rsidR="00441792" w:rsidRDefault="00441792" w:rsidP="00723DB7">
            <w:r>
              <w:t>9.2.4</w:t>
            </w:r>
          </w:p>
        </w:tc>
        <w:tc>
          <w:tcPr>
            <w:tcW w:w="5355" w:type="dxa"/>
          </w:tcPr>
          <w:p w14:paraId="07EF2277" w14:textId="58DC19F6" w:rsidR="00441792" w:rsidRDefault="00441792" w:rsidP="00C654FF">
            <w:r>
              <w:t xml:space="preserve">Should we address including </w:t>
            </w:r>
            <w:proofErr w:type="spellStart"/>
            <w:r>
              <w:t>givenName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 xml:space="preserve"> in certificates?</w:t>
            </w:r>
          </w:p>
        </w:tc>
        <w:tc>
          <w:tcPr>
            <w:tcW w:w="1170" w:type="dxa"/>
          </w:tcPr>
          <w:p w14:paraId="0CCDD756" w14:textId="77777777" w:rsidR="00441792" w:rsidRDefault="00441792" w:rsidP="00417950"/>
        </w:tc>
        <w:tc>
          <w:tcPr>
            <w:tcW w:w="1080" w:type="dxa"/>
          </w:tcPr>
          <w:p w14:paraId="789A3B2F" w14:textId="311DD094" w:rsidR="00441792" w:rsidRDefault="00441792" w:rsidP="00417950">
            <w:r>
              <w:t>4</w:t>
            </w:r>
          </w:p>
        </w:tc>
        <w:tc>
          <w:tcPr>
            <w:tcW w:w="4405" w:type="dxa"/>
          </w:tcPr>
          <w:p w14:paraId="74A015E7" w14:textId="5FD79CFF" w:rsidR="00441792" w:rsidRDefault="00441792" w:rsidP="00417950"/>
        </w:tc>
      </w:tr>
      <w:tr w:rsidR="00441792" w14:paraId="4CE0C12C" w14:textId="24F92808" w:rsidTr="00441792">
        <w:tc>
          <w:tcPr>
            <w:tcW w:w="940" w:type="dxa"/>
          </w:tcPr>
          <w:p w14:paraId="2087BFBB" w14:textId="701708E4" w:rsidR="00441792" w:rsidRDefault="00441792" w:rsidP="00723DB7">
            <w:r>
              <w:t>11.1.1</w:t>
            </w:r>
          </w:p>
        </w:tc>
        <w:tc>
          <w:tcPr>
            <w:tcW w:w="5355" w:type="dxa"/>
          </w:tcPr>
          <w:p w14:paraId="12D33D3B" w14:textId="3659378E" w:rsidR="00441792" w:rsidRDefault="00441792" w:rsidP="00723DB7">
            <w:r>
              <w:t>Discuss item 4, “If the Subject’s or Subject’s Affiliate’s, Parent Company’s, or Subsidiary Company’s date of formation, as indicated by either a QIIS or QGIS, was less than three years prior to the date of the Certificate Request, verify the identity of the Certificate Requester.”</w:t>
            </w:r>
          </w:p>
        </w:tc>
        <w:tc>
          <w:tcPr>
            <w:tcW w:w="1170" w:type="dxa"/>
          </w:tcPr>
          <w:p w14:paraId="2C3C2699" w14:textId="4A0BD84D" w:rsidR="00441792" w:rsidRDefault="00441792" w:rsidP="00723DB7">
            <w:r>
              <w:t>Ian</w:t>
            </w:r>
          </w:p>
        </w:tc>
        <w:tc>
          <w:tcPr>
            <w:tcW w:w="1080" w:type="dxa"/>
          </w:tcPr>
          <w:p w14:paraId="7BFF8643" w14:textId="4375E3AE" w:rsidR="00441792" w:rsidRDefault="00441792" w:rsidP="00723DB7">
            <w:r>
              <w:t>4</w:t>
            </w:r>
          </w:p>
        </w:tc>
        <w:tc>
          <w:tcPr>
            <w:tcW w:w="4405" w:type="dxa"/>
          </w:tcPr>
          <w:p w14:paraId="05817761" w14:textId="1CAC5EA8" w:rsidR="00441792" w:rsidRDefault="00441792" w:rsidP="00723DB7"/>
        </w:tc>
      </w:tr>
      <w:tr w:rsidR="00441792" w14:paraId="5FED3B0A" w14:textId="2E7C8BD9" w:rsidTr="00441792">
        <w:tc>
          <w:tcPr>
            <w:tcW w:w="940" w:type="dxa"/>
          </w:tcPr>
          <w:p w14:paraId="655F8C6C" w14:textId="32F9EB16" w:rsidR="00441792" w:rsidRDefault="00441792" w:rsidP="00723DB7">
            <w:r>
              <w:t>11.1.2</w:t>
            </w:r>
          </w:p>
        </w:tc>
        <w:tc>
          <w:tcPr>
            <w:tcW w:w="5355" w:type="dxa"/>
          </w:tcPr>
          <w:p w14:paraId="1D9B0A77" w14:textId="0F79FDBA" w:rsidR="00441792" w:rsidRDefault="00441792" w:rsidP="00C654FF">
            <w:r>
              <w:t>How to identify individuals working on open source code as part of a consortium?</w:t>
            </w:r>
          </w:p>
        </w:tc>
        <w:tc>
          <w:tcPr>
            <w:tcW w:w="1170" w:type="dxa"/>
          </w:tcPr>
          <w:p w14:paraId="410B6325" w14:textId="38F5C941" w:rsidR="00441792" w:rsidRDefault="00441792" w:rsidP="007E25A2">
            <w:r>
              <w:t>Ian</w:t>
            </w:r>
          </w:p>
        </w:tc>
        <w:tc>
          <w:tcPr>
            <w:tcW w:w="1080" w:type="dxa"/>
          </w:tcPr>
          <w:p w14:paraId="5873AADC" w14:textId="4836A5BF" w:rsidR="00441792" w:rsidRDefault="00441792" w:rsidP="007E25A2">
            <w:r>
              <w:t>3</w:t>
            </w:r>
          </w:p>
        </w:tc>
        <w:tc>
          <w:tcPr>
            <w:tcW w:w="4405" w:type="dxa"/>
          </w:tcPr>
          <w:p w14:paraId="7B0DCEFB" w14:textId="735A9EC7" w:rsidR="00441792" w:rsidRDefault="00441792" w:rsidP="007E25A2">
            <w:r>
              <w:t>Brought up by Microsoft rep at virtual F2F</w:t>
            </w:r>
          </w:p>
        </w:tc>
      </w:tr>
      <w:tr w:rsidR="00441792" w14:paraId="7D57C556" w14:textId="50FD47F5" w:rsidTr="00441792">
        <w:tc>
          <w:tcPr>
            <w:tcW w:w="940" w:type="dxa"/>
          </w:tcPr>
          <w:p w14:paraId="2AFED73C" w14:textId="55940E1C" w:rsidR="00441792" w:rsidRDefault="00441792" w:rsidP="00723DB7">
            <w:r>
              <w:t>11.2</w:t>
            </w:r>
          </w:p>
        </w:tc>
        <w:tc>
          <w:tcPr>
            <w:tcW w:w="5355" w:type="dxa"/>
          </w:tcPr>
          <w:p w14:paraId="0D93E228" w14:textId="1ACCF006" w:rsidR="00441792" w:rsidRDefault="00441792" w:rsidP="00723DB7">
            <w:r>
              <w:t>Should EV Guidelines section 11.5 regarding Verified Method of Communication be addressed?</w:t>
            </w:r>
          </w:p>
        </w:tc>
        <w:tc>
          <w:tcPr>
            <w:tcW w:w="1170" w:type="dxa"/>
          </w:tcPr>
          <w:p w14:paraId="0079029A" w14:textId="7E506905" w:rsidR="00441792" w:rsidRDefault="00441792" w:rsidP="00723DB7">
            <w:r>
              <w:t>Bruce</w:t>
            </w:r>
          </w:p>
        </w:tc>
        <w:tc>
          <w:tcPr>
            <w:tcW w:w="1080" w:type="dxa"/>
          </w:tcPr>
          <w:p w14:paraId="7996DE6D" w14:textId="6DD9D774" w:rsidR="00441792" w:rsidRDefault="00441792" w:rsidP="00723DB7">
            <w:r>
              <w:t>2</w:t>
            </w:r>
          </w:p>
        </w:tc>
        <w:tc>
          <w:tcPr>
            <w:tcW w:w="4405" w:type="dxa"/>
          </w:tcPr>
          <w:p w14:paraId="1FBE6B95" w14:textId="592B7A0B" w:rsidR="00441792" w:rsidRDefault="00441792" w:rsidP="00723DB7"/>
        </w:tc>
      </w:tr>
      <w:tr w:rsidR="00441792" w14:paraId="64905875" w14:textId="72B88DD5" w:rsidTr="00441792">
        <w:tc>
          <w:tcPr>
            <w:tcW w:w="940" w:type="dxa"/>
          </w:tcPr>
          <w:p w14:paraId="7866C576" w14:textId="4E082190" w:rsidR="00441792" w:rsidRDefault="00441792" w:rsidP="00723DB7">
            <w:r>
              <w:t>11.5</w:t>
            </w:r>
          </w:p>
        </w:tc>
        <w:tc>
          <w:tcPr>
            <w:tcW w:w="5355" w:type="dxa"/>
          </w:tcPr>
          <w:p w14:paraId="19B23462" w14:textId="676179B9" w:rsidR="00441792" w:rsidRDefault="00441792" w:rsidP="00723DB7">
            <w:r>
              <w:t>High risk certificate requests should either be removed or updated to provide common methods for all CAs.</w:t>
            </w:r>
          </w:p>
        </w:tc>
        <w:tc>
          <w:tcPr>
            <w:tcW w:w="1170" w:type="dxa"/>
          </w:tcPr>
          <w:p w14:paraId="7B704EE7" w14:textId="1BA38C67" w:rsidR="00441792" w:rsidRDefault="00441792" w:rsidP="00723DB7">
            <w:r>
              <w:t>Ian/Mike</w:t>
            </w:r>
          </w:p>
        </w:tc>
        <w:tc>
          <w:tcPr>
            <w:tcW w:w="1080" w:type="dxa"/>
          </w:tcPr>
          <w:p w14:paraId="483F3680" w14:textId="6C4E09FB" w:rsidR="00441792" w:rsidRDefault="00441792" w:rsidP="00723DB7">
            <w:r>
              <w:t>1</w:t>
            </w:r>
          </w:p>
        </w:tc>
        <w:tc>
          <w:tcPr>
            <w:tcW w:w="4405" w:type="dxa"/>
          </w:tcPr>
          <w:p w14:paraId="2D260BC8" w14:textId="08E1D5BA" w:rsidR="00441792" w:rsidRDefault="00441792" w:rsidP="00723DB7"/>
        </w:tc>
      </w:tr>
      <w:tr w:rsidR="00441792" w14:paraId="6B6514D0" w14:textId="63A3A765" w:rsidTr="00441792">
        <w:tc>
          <w:tcPr>
            <w:tcW w:w="940" w:type="dxa"/>
          </w:tcPr>
          <w:p w14:paraId="072AEE09" w14:textId="2B9754E3" w:rsidR="00441792" w:rsidRDefault="00441792" w:rsidP="00723DB7">
            <w:r>
              <w:t>14</w:t>
            </w:r>
          </w:p>
        </w:tc>
        <w:tc>
          <w:tcPr>
            <w:tcW w:w="5355" w:type="dxa"/>
          </w:tcPr>
          <w:p w14:paraId="14FA8FA3" w14:textId="61C92B9D" w:rsidR="00441792" w:rsidRDefault="00441792" w:rsidP="00C654FF">
            <w:r>
              <w:t>Consolidate Employee and Third Party requirements for Non-EV and EV Certificates.</w:t>
            </w:r>
          </w:p>
        </w:tc>
        <w:tc>
          <w:tcPr>
            <w:tcW w:w="1170" w:type="dxa"/>
          </w:tcPr>
          <w:p w14:paraId="12954699" w14:textId="746D7C50" w:rsidR="00441792" w:rsidRDefault="00441792" w:rsidP="00430E55">
            <w:r>
              <w:t>Dean/Bruce</w:t>
            </w:r>
          </w:p>
        </w:tc>
        <w:tc>
          <w:tcPr>
            <w:tcW w:w="1080" w:type="dxa"/>
          </w:tcPr>
          <w:p w14:paraId="67913093" w14:textId="274707FE" w:rsidR="00441792" w:rsidRDefault="00441792" w:rsidP="00430E55">
            <w:r>
              <w:t>3</w:t>
            </w:r>
          </w:p>
        </w:tc>
        <w:tc>
          <w:tcPr>
            <w:tcW w:w="4405" w:type="dxa"/>
          </w:tcPr>
          <w:p w14:paraId="1859A835" w14:textId="6B0A69B9" w:rsidR="00441792" w:rsidRDefault="00441792" w:rsidP="00430E55"/>
        </w:tc>
      </w:tr>
      <w:tr w:rsidR="00441792" w14:paraId="18FD67AC" w14:textId="6D969314" w:rsidTr="00441792">
        <w:tc>
          <w:tcPr>
            <w:tcW w:w="940" w:type="dxa"/>
          </w:tcPr>
          <w:p w14:paraId="1EE778F9" w14:textId="142F27C3" w:rsidR="00441792" w:rsidRDefault="00441792" w:rsidP="00723DB7">
            <w:r>
              <w:t>15</w:t>
            </w:r>
          </w:p>
        </w:tc>
        <w:tc>
          <w:tcPr>
            <w:tcW w:w="5355" w:type="dxa"/>
          </w:tcPr>
          <w:p w14:paraId="3118A1A1" w14:textId="7823D6FB" w:rsidR="00441792" w:rsidRDefault="00441792" w:rsidP="00C654FF">
            <w:r>
              <w:t>Consolidate Data Records for CAs, Signing Authorities, and Time-stamp Authorities.</w:t>
            </w:r>
          </w:p>
        </w:tc>
        <w:tc>
          <w:tcPr>
            <w:tcW w:w="1170" w:type="dxa"/>
          </w:tcPr>
          <w:p w14:paraId="464729F1" w14:textId="24A2937B" w:rsidR="00441792" w:rsidRDefault="00441792" w:rsidP="00042263">
            <w:r>
              <w:t>Bruce</w:t>
            </w:r>
          </w:p>
        </w:tc>
        <w:tc>
          <w:tcPr>
            <w:tcW w:w="1080" w:type="dxa"/>
          </w:tcPr>
          <w:p w14:paraId="784B4A06" w14:textId="0C009F57" w:rsidR="00441792" w:rsidRDefault="00441792" w:rsidP="00042263">
            <w:r>
              <w:t>3</w:t>
            </w:r>
          </w:p>
        </w:tc>
        <w:tc>
          <w:tcPr>
            <w:tcW w:w="4405" w:type="dxa"/>
          </w:tcPr>
          <w:p w14:paraId="44955F0D" w14:textId="0EED954A" w:rsidR="00441792" w:rsidRDefault="00441792" w:rsidP="00042263"/>
        </w:tc>
      </w:tr>
      <w:tr w:rsidR="00441792" w14:paraId="77407E79" w14:textId="338AF7DF" w:rsidTr="00441792">
        <w:tc>
          <w:tcPr>
            <w:tcW w:w="940" w:type="dxa"/>
          </w:tcPr>
          <w:p w14:paraId="7148B5DC" w14:textId="23DF4CB2" w:rsidR="00441792" w:rsidRDefault="00441792" w:rsidP="00723DB7">
            <w:r>
              <w:t>16.3</w:t>
            </w:r>
          </w:p>
        </w:tc>
        <w:tc>
          <w:tcPr>
            <w:tcW w:w="5355" w:type="dxa"/>
          </w:tcPr>
          <w:p w14:paraId="0D75B229" w14:textId="349D0791" w:rsidR="00441792" w:rsidRDefault="00441792" w:rsidP="00723DB7">
            <w:r>
              <w:t>Subscriber private key protection should be updated. Cloud-based key protection should be considered.</w:t>
            </w:r>
          </w:p>
        </w:tc>
        <w:tc>
          <w:tcPr>
            <w:tcW w:w="1170" w:type="dxa"/>
          </w:tcPr>
          <w:p w14:paraId="0DAE25C6" w14:textId="5F8CCD64" w:rsidR="00441792" w:rsidRDefault="00441792" w:rsidP="00723DB7">
            <w:r>
              <w:t>Ian</w:t>
            </w:r>
          </w:p>
        </w:tc>
        <w:tc>
          <w:tcPr>
            <w:tcW w:w="1080" w:type="dxa"/>
          </w:tcPr>
          <w:p w14:paraId="3E9DC2D4" w14:textId="37B06845" w:rsidR="00441792" w:rsidRDefault="00441792" w:rsidP="00723DB7">
            <w:r>
              <w:t>1</w:t>
            </w:r>
          </w:p>
        </w:tc>
        <w:tc>
          <w:tcPr>
            <w:tcW w:w="4405" w:type="dxa"/>
          </w:tcPr>
          <w:p w14:paraId="7553F522" w14:textId="059CEAF9" w:rsidR="00441792" w:rsidRDefault="00441792" w:rsidP="00723DB7"/>
        </w:tc>
      </w:tr>
      <w:tr w:rsidR="00441792" w14:paraId="335F5B65" w14:textId="01C39DBD" w:rsidTr="00441792">
        <w:tc>
          <w:tcPr>
            <w:tcW w:w="940" w:type="dxa"/>
          </w:tcPr>
          <w:p w14:paraId="4D1C74A7" w14:textId="568B62DC" w:rsidR="00441792" w:rsidRDefault="00441792" w:rsidP="00723DB7">
            <w:r>
              <w:t>17.1</w:t>
            </w:r>
          </w:p>
        </w:tc>
        <w:tc>
          <w:tcPr>
            <w:tcW w:w="5355" w:type="dxa"/>
          </w:tcPr>
          <w:p w14:paraId="57B41A3C" w14:textId="11D0C7FE" w:rsidR="00441792" w:rsidRDefault="00441792" w:rsidP="00723DB7">
            <w:r>
              <w:t>Review if special audit criteria is needed for Government CAs.</w:t>
            </w:r>
          </w:p>
        </w:tc>
        <w:tc>
          <w:tcPr>
            <w:tcW w:w="1170" w:type="dxa"/>
          </w:tcPr>
          <w:p w14:paraId="2C4B271A" w14:textId="5DC74157" w:rsidR="00441792" w:rsidRDefault="00441792" w:rsidP="00723DB7">
            <w:r>
              <w:t>Mike</w:t>
            </w:r>
          </w:p>
        </w:tc>
        <w:tc>
          <w:tcPr>
            <w:tcW w:w="1080" w:type="dxa"/>
          </w:tcPr>
          <w:p w14:paraId="79366381" w14:textId="40229114" w:rsidR="00441792" w:rsidRDefault="00441792" w:rsidP="00723DB7">
            <w:r>
              <w:t>3</w:t>
            </w:r>
          </w:p>
        </w:tc>
        <w:tc>
          <w:tcPr>
            <w:tcW w:w="4405" w:type="dxa"/>
          </w:tcPr>
          <w:p w14:paraId="488701CC" w14:textId="09248A61" w:rsidR="00441792" w:rsidRDefault="00441792" w:rsidP="00723DB7"/>
        </w:tc>
      </w:tr>
    </w:tbl>
    <w:p w14:paraId="51284683" w14:textId="77777777" w:rsidR="00723DB7" w:rsidRPr="00723DB7" w:rsidRDefault="00723DB7" w:rsidP="00723DB7"/>
    <w:sectPr w:rsidR="00723DB7" w:rsidRPr="00723DB7" w:rsidSect="004417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FFE4" w14:textId="77777777" w:rsidR="00D408DF" w:rsidRDefault="00D408DF" w:rsidP="00D408DF">
      <w:pPr>
        <w:spacing w:after="0" w:line="240" w:lineRule="auto"/>
      </w:pPr>
      <w:r>
        <w:separator/>
      </w:r>
    </w:p>
  </w:endnote>
  <w:endnote w:type="continuationSeparator" w:id="0">
    <w:p w14:paraId="6186B5FE" w14:textId="77777777" w:rsidR="00D408DF" w:rsidRDefault="00D408DF" w:rsidP="00D4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148E" w14:textId="77777777" w:rsidR="00D408DF" w:rsidRDefault="00D408DF" w:rsidP="00D408DF">
      <w:pPr>
        <w:spacing w:after="0" w:line="240" w:lineRule="auto"/>
      </w:pPr>
      <w:r>
        <w:separator/>
      </w:r>
    </w:p>
  </w:footnote>
  <w:footnote w:type="continuationSeparator" w:id="0">
    <w:p w14:paraId="0515FA4F" w14:textId="77777777" w:rsidR="00D408DF" w:rsidRDefault="00D408DF" w:rsidP="00D4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DC"/>
    <w:rsid w:val="00042263"/>
    <w:rsid w:val="001E0488"/>
    <w:rsid w:val="00386AFB"/>
    <w:rsid w:val="00417950"/>
    <w:rsid w:val="004212D0"/>
    <w:rsid w:val="00430E55"/>
    <w:rsid w:val="00441792"/>
    <w:rsid w:val="00661525"/>
    <w:rsid w:val="00723DB7"/>
    <w:rsid w:val="007E25A2"/>
    <w:rsid w:val="009F7599"/>
    <w:rsid w:val="00AB0394"/>
    <w:rsid w:val="00B86D56"/>
    <w:rsid w:val="00C654FF"/>
    <w:rsid w:val="00D408DF"/>
    <w:rsid w:val="00D7301D"/>
    <w:rsid w:val="00EF0B67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064CF"/>
  <w15:chartTrackingRefBased/>
  <w15:docId w15:val="{B62B76B9-39EB-4841-903C-4071B08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D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DF"/>
  </w:style>
  <w:style w:type="paragraph" w:styleId="Footer">
    <w:name w:val="footer"/>
    <w:basedOn w:val="Normal"/>
    <w:link w:val="FooterChar"/>
    <w:uiPriority w:val="99"/>
    <w:unhideWhenUsed/>
    <w:rsid w:val="00D4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945183C97B141A46C4B28C53E614D" ma:contentTypeVersion="13" ma:contentTypeDescription="Create a new document." ma:contentTypeScope="" ma:versionID="ea5366f44c49f23fcbc34609b0f18b1d">
  <xsd:schema xmlns:xsd="http://www.w3.org/2001/XMLSchema" xmlns:xs="http://www.w3.org/2001/XMLSchema" xmlns:p="http://schemas.microsoft.com/office/2006/metadata/properties" xmlns:ns3="4a412b0f-304a-448a-ae0a-08b1ef3198ef" xmlns:ns4="c8f70024-194b-4bd5-95e6-3e69a4e7a76d" targetNamespace="http://schemas.microsoft.com/office/2006/metadata/properties" ma:root="true" ma:fieldsID="6e6b85fa294acd72ae1985829066c73a" ns3:_="" ns4:_="">
    <xsd:import namespace="4a412b0f-304a-448a-ae0a-08b1ef3198ef"/>
    <xsd:import namespace="c8f70024-194b-4bd5-95e6-3e69a4e7a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2b0f-304a-448a-ae0a-08b1ef319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0024-194b-4bd5-95e6-3e69a4e7a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CFEA7-3F28-4101-AC6B-55CF7FC67498}">
  <ds:schemaRefs>
    <ds:schemaRef ds:uri="4a412b0f-304a-448a-ae0a-08b1ef3198e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8f70024-194b-4bd5-95e6-3e69a4e7a7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B70BDD-F09E-4979-A54B-D1991EC30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07C48-DDDF-4218-84F3-76F100A92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12b0f-304a-448a-ae0a-08b1ef3198ef"/>
    <ds:schemaRef ds:uri="c8f70024-194b-4bd5-95e6-3e69a4e7a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Morton</dc:creator>
  <cp:keywords/>
  <dc:description/>
  <cp:lastModifiedBy>Bruce Morton</cp:lastModifiedBy>
  <cp:revision>4</cp:revision>
  <dcterms:created xsi:type="dcterms:W3CDTF">2020-05-26T17:59:00Z</dcterms:created>
  <dcterms:modified xsi:type="dcterms:W3CDTF">2020-05-28T15:40:00Z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0x0101009DC945183C97B141A46C4B28C53E614D</vt:lpwstr>
  </property>
</Properties>
</file>